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59" w:lineRule="auto"/>
      </w:pPr>
      <w:r>
        <w:rPr>
          <w:rFonts w:ascii="Aptos" w:hAnsi="Aptos" w:eastAsia="Aptos"/>
          <w:b/>
          <w:i w:val="0"/>
          <w:color w:val="29E69B"/>
          <w:sz w:val="18"/>
        </w:rPr>
        <w:t>ARENACX | IMPACT DESIGN TOOL</w:t>
      </w:r>
    </w:p>
    <w:p>
      <w:pPr>
        <w:pStyle w:val="Title"/>
        <w:spacing w:after="80"/>
      </w:pPr>
      <w:r>
        <w:rPr>
          <w:sz w:val="46"/>
        </w:rPr>
        <w:t>The Impact Design Checklist for Customer Operations</w:t>
      </w:r>
    </w:p>
    <w:p>
      <w:pPr>
        <w:spacing w:after="100" w:line="259" w:lineRule="auto"/>
      </w:pPr>
      <w:r>
        <w:rPr>
          <w:rFonts w:ascii="Aptos" w:hAnsi="Aptos" w:eastAsia="Aptos"/>
          <w:b w:val="0"/>
          <w:i w:val="0"/>
          <w:color w:val="24333A"/>
          <w:sz w:val="22"/>
        </w:rPr>
        <w:t>A practical working tool for applying impact criteria without losing sight of operating fit</w:t>
      </w:r>
    </w:p>
    <w:p>
      <w:pPr>
        <w:spacing w:after="100" w:line="259" w:lineRule="auto"/>
      </w:pPr>
      <w:r>
        <w:rPr>
          <w:rFonts w:ascii="Aptos" w:hAnsi="Aptos" w:eastAsia="Aptos"/>
          <w:b w:val="0"/>
          <w:i w:val="0"/>
          <w:color w:val="24333A"/>
          <w:sz w:val="19"/>
        </w:rPr>
        <w:t>Use this checklist with the people responsible for sourcing, operations, procurement, workforce, legal/compliance, and program governance as appropriate. The Word version is editable; the companion PDF contains fillable fields.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282"/>
      </w:tblGrid>
      <w:tr>
        <w:tc>
          <w:tcPr>
            <w:tcW w:type="dxa" w:w="10282"/>
            <w:shd w:fill="EAF3EE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r>
              <w:rPr>
                <w:rFonts w:ascii="Aptos" w:hAnsi="Aptos" w:eastAsia="Aptos"/>
                <w:b/>
                <w:color w:val="1A575B"/>
                <w:sz w:val="22"/>
              </w:rPr>
              <w:t>Operating fit is the gate</w:t>
            </w:r>
            <w:r>
              <w:br/>
            </w:r>
            <w:r>
              <w:rPr>
                <w:rFonts w:ascii="Aptos" w:hAnsi="Aptos" w:eastAsia="Aptos"/>
                <w:b w:val="0"/>
                <w:color w:val="24333A"/>
                <w:sz w:val="20"/>
              </w:rPr>
              <w:t>Impact is an additional decision dimension. A provider or solution still has to satisfy the program's capability, quality, scale, economics, geography/language, technology/systems, resilience, and implementation-readiness requirements.</w:t>
            </w:r>
          </w:p>
        </w:tc>
      </w:tr>
    </w:tbl>
    <w:p>
      <w:pPr>
        <w:pStyle w:val="Heading1"/>
        <w:spacing w:before="120" w:after="60"/>
      </w:pPr>
      <w:r>
        <w:t>The four lenses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CCD6D3"/>
          <w:left w:val="single" w:sz="5" w:color="CCD6D3"/>
          <w:bottom w:val="single" w:sz="5" w:color="CCD6D3"/>
          <w:right w:val="single" w:sz="5" w:color="CCD6D3"/>
          <w:insideH w:val="single" w:sz="5" w:color="CCD6D3"/>
          <w:insideV w:val="single" w:sz="5" w:color="CCD6D3"/>
        </w:tblBorders>
      </w:tblPr>
      <w:tblGrid>
        <w:gridCol w:w="2088"/>
        <w:gridCol w:w="7992"/>
      </w:tblGrid>
      <w:tr>
        <w:trPr>
          <w:tblHeader w:val="true"/>
        </w:trPr>
        <w:tc>
          <w:tcPr>
            <w:tcW w:type="dxa" w:w="2088"/>
            <w:shd w:fill="09101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sz w:val="18"/>
              </w:rPr>
            </w:r>
            <w:r>
              <w:rPr>
                <w:rFonts w:ascii="Aptos" w:hAnsi="Aptos" w:eastAsia="Aptos"/>
                <w:b/>
                <w:color w:val="E9EEDC"/>
                <w:sz w:val="18"/>
              </w:rPr>
              <w:t>Lens</w:t>
            </w:r>
          </w:p>
        </w:tc>
        <w:tc>
          <w:tcPr>
            <w:tcW w:type="dxa" w:w="7992"/>
            <w:shd w:fill="09101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sz w:val="18"/>
              </w:rPr>
            </w:r>
            <w:r>
              <w:rPr>
                <w:rFonts w:ascii="Aptos" w:hAnsi="Aptos" w:eastAsia="Aptos"/>
                <w:b/>
                <w:color w:val="E9EEDC"/>
                <w:sz w:val="18"/>
              </w:rPr>
              <w:t>Working definition</w:t>
            </w:r>
          </w:p>
        </w:tc>
      </w:tr>
      <w:tr>
        <w:tc>
          <w:tcPr>
            <w:tcW w:type="dxa" w:w="2088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sz w:val="18"/>
              </w:rPr>
            </w:r>
            <w:r>
              <w:rPr>
                <w:rFonts w:ascii="Aptos" w:hAnsi="Aptos" w:eastAsia="Aptos"/>
                <w:b/>
                <w:color w:val="1A575B"/>
                <w:sz w:val="18"/>
              </w:rPr>
              <w:t>Ownership</w:t>
            </w:r>
          </w:p>
        </w:tc>
        <w:tc>
          <w:tcPr>
            <w:tcW w:type="dxa" w:w="7992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sz w:val="18"/>
              </w:rPr>
            </w:r>
            <w:r>
              <w:rPr>
                <w:rFonts w:ascii="Aptos" w:hAnsi="Aptos" w:eastAsia="Aptos"/>
                <w:b w:val="0"/>
                <w:color w:val="24333A"/>
                <w:sz w:val="18"/>
              </w:rPr>
              <w:t>Who owns the provider. Use classifications only where they are accurate and supportable.</w:t>
            </w:r>
          </w:p>
        </w:tc>
      </w:tr>
      <w:tr>
        <w:tc>
          <w:tcPr>
            <w:tcW w:type="dxa" w:w="2088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sz w:val="18"/>
              </w:rPr>
            </w:r>
            <w:r>
              <w:rPr>
                <w:rFonts w:ascii="Aptos" w:hAnsi="Aptos" w:eastAsia="Aptos"/>
                <w:b/>
                <w:color w:val="1A575B"/>
                <w:sz w:val="18"/>
              </w:rPr>
              <w:t>Location</w:t>
            </w:r>
          </w:p>
        </w:tc>
        <w:tc>
          <w:tcPr>
            <w:tcW w:type="dxa" w:w="7992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sz w:val="18"/>
              </w:rPr>
            </w:r>
            <w:r>
              <w:rPr>
                <w:rFonts w:ascii="Aptos" w:hAnsi="Aptos" w:eastAsia="Aptos"/>
                <w:b w:val="0"/>
                <w:color w:val="24333A"/>
                <w:sz w:val="18"/>
              </w:rPr>
              <w:t>Where the work is performed. Consider the economic context of the geography without assuming that location alone proves impact.</w:t>
            </w:r>
          </w:p>
        </w:tc>
      </w:tr>
      <w:tr>
        <w:tc>
          <w:tcPr>
            <w:tcW w:type="dxa" w:w="2088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sz w:val="18"/>
              </w:rPr>
            </w:r>
            <w:r>
              <w:rPr>
                <w:rFonts w:ascii="Aptos" w:hAnsi="Aptos" w:eastAsia="Aptos"/>
                <w:b/>
                <w:color w:val="1A575B"/>
                <w:sz w:val="18"/>
              </w:rPr>
              <w:t>Employment</w:t>
            </w:r>
          </w:p>
        </w:tc>
        <w:tc>
          <w:tcPr>
            <w:tcW w:type="dxa" w:w="7992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sz w:val="18"/>
              </w:rPr>
            </w:r>
            <w:r>
              <w:rPr>
                <w:rFonts w:ascii="Aptos" w:hAnsi="Aptos" w:eastAsia="Aptos"/>
                <w:b w:val="0"/>
                <w:color w:val="24333A"/>
                <w:sz w:val="18"/>
              </w:rPr>
              <w:t>Who gets access to the work. Define the population precisely and verify the employment model rather than relying on broad claims.</w:t>
            </w:r>
          </w:p>
        </w:tc>
      </w:tr>
      <w:tr>
        <w:tc>
          <w:tcPr>
            <w:tcW w:type="dxa" w:w="2088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sz w:val="18"/>
              </w:rPr>
            </w:r>
            <w:r>
              <w:rPr>
                <w:rFonts w:ascii="Aptos" w:hAnsi="Aptos" w:eastAsia="Aptos"/>
                <w:b/>
                <w:color w:val="1A575B"/>
                <w:sz w:val="18"/>
              </w:rPr>
              <w:t>Mission</w:t>
            </w:r>
          </w:p>
        </w:tc>
        <w:tc>
          <w:tcPr>
            <w:tcW w:type="dxa" w:w="7992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r>
              <w:rPr>
                <w:sz w:val="18"/>
              </w:rPr>
            </w:r>
            <w:r>
              <w:rPr>
                <w:rFonts w:ascii="Aptos" w:hAnsi="Aptos" w:eastAsia="Aptos"/>
                <w:b w:val="0"/>
                <w:color w:val="24333A"/>
                <w:sz w:val="18"/>
              </w:rPr>
              <w:t>Why the provider exists and which communities it seeks to serve. Mission or affiliation alone is not evidence of operating fit or impact.</w:t>
            </w:r>
          </w:p>
        </w:tc>
      </w:tr>
    </w:tbl>
    <w:p>
      <w:pPr>
        <w:pStyle w:val="Heading1"/>
        <w:spacing w:before="120" w:after="60"/>
      </w:pPr>
      <w:r>
        <w:t>How to use this tool</w:t>
      </w:r>
    </w:p>
    <w:p>
      <w:pPr>
        <w:pStyle w:val="ListNumber"/>
        <w:spacing w:after="0" w:line="240" w:lineRule="auto"/>
      </w:pPr>
      <w:r>
        <w:rPr>
          <w:rFonts w:ascii="Aptos" w:hAnsi="Aptos" w:eastAsia="Aptos"/>
          <w:b w:val="0"/>
          <w:color w:val="24333A"/>
          <w:sz w:val="18"/>
        </w:rPr>
        <w:t>Complete the operating-fit gate before giving impact considerations decision weight.</w:t>
      </w:r>
    </w:p>
    <w:p>
      <w:pPr>
        <w:pStyle w:val="ListNumber"/>
        <w:spacing w:after="0" w:line="240" w:lineRule="auto"/>
      </w:pPr>
      <w:r>
        <w:rPr>
          <w:rFonts w:ascii="Aptos" w:hAnsi="Aptos" w:eastAsia="Aptos"/>
          <w:b w:val="0"/>
          <w:color w:val="24333A"/>
          <w:sz w:val="18"/>
        </w:rPr>
        <w:t>Work through DEFINE, SOURCE, EVALUATE, SELECT &amp; STRUCTURE, and MEASURE in order.</w:t>
      </w:r>
    </w:p>
    <w:p>
      <w:pPr>
        <w:pStyle w:val="ListNumber"/>
        <w:spacing w:after="0" w:line="240" w:lineRule="auto"/>
      </w:pPr>
      <w:r>
        <w:rPr>
          <w:rFonts w:ascii="Aptos" w:hAnsi="Aptos" w:eastAsia="Aptos"/>
          <w:b w:val="0"/>
          <w:color w:val="24333A"/>
          <w:sz w:val="18"/>
        </w:rPr>
        <w:t>Check an item only when the team has a supportable answer or agreed action. Use the notes fields to record decisions, evidence, owners, and unresolved questions.</w:t>
      </w:r>
    </w:p>
    <w:p>
      <w:pPr>
        <w:pStyle w:val="ListNumber"/>
        <w:spacing w:after="0" w:line="240" w:lineRule="auto"/>
      </w:pPr>
      <w:r>
        <w:rPr>
          <w:rFonts w:ascii="Aptos" w:hAnsi="Aptos" w:eastAsia="Aptos"/>
          <w:b w:val="0"/>
          <w:color w:val="24333A"/>
          <w:sz w:val="18"/>
        </w:rPr>
        <w:t>Treat certifications, classifications, missions, geography, and employment claims as facts to validate - not assumptions.</w:t>
      </w:r>
    </w:p>
    <w:p>
      <w:r>
        <w:br w:type="page"/>
      </w:r>
    </w:p>
    <w:p>
      <w:pPr>
        <w:pStyle w:val="Heading1"/>
        <w:spacing w:after="40"/>
      </w:pPr>
      <w:r>
        <w:t>DEFINE</w:t>
      </w:r>
    </w:p>
    <w:p>
      <w:pPr>
        <w:spacing w:after="140" w:line="259" w:lineRule="auto"/>
      </w:pPr>
      <w:r>
        <w:rPr>
          <w:rFonts w:ascii="Aptos" w:hAnsi="Aptos" w:eastAsia="Aptos"/>
          <w:b w:val="0"/>
          <w:i/>
          <w:color w:val="24333A"/>
          <w:sz w:val="22"/>
        </w:rPr>
        <w:t>Translate intent into definitions, evidence rules, decision weight, and operating constraints.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CCD6D3"/>
          <w:left w:val="single" w:sz="5" w:color="CCD6D3"/>
          <w:bottom w:val="single" w:sz="5" w:color="CCD6D3"/>
          <w:right w:val="single" w:sz="5" w:color="CCD6D3"/>
          <w:insideH w:val="single" w:sz="5" w:color="CCD6D3"/>
          <w:insideV w:val="single" w:sz="5" w:color="CCD6D3"/>
        </w:tblBorders>
      </w:tblPr>
      <w:tblGrid>
        <w:gridCol w:w="835"/>
        <w:gridCol w:w="892"/>
        <w:gridCol w:w="8352"/>
      </w:tblGrid>
      <w:tr>
        <w:trPr>
          <w:tblHeader w:val="true"/>
        </w:trPr>
        <w:tc>
          <w:tcPr>
            <w:tcW w:type="dxa" w:w="835"/>
            <w:shd w:fill="091015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ptos" w:hAnsi="Aptos" w:eastAsia="Aptos"/>
                <w:b/>
                <w:color w:val="E9EEDC"/>
                <w:sz w:val="19"/>
              </w:rPr>
              <w:t>Done</w:t>
            </w:r>
          </w:p>
        </w:tc>
        <w:tc>
          <w:tcPr>
            <w:tcW w:type="dxa" w:w="892"/>
            <w:shd w:fill="091015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ptos" w:hAnsi="Aptos" w:eastAsia="Aptos"/>
                <w:b/>
                <w:color w:val="E9EEDC"/>
                <w:sz w:val="19"/>
              </w:rPr>
              <w:t>ID</w:t>
            </w:r>
          </w:p>
        </w:tc>
        <w:tc>
          <w:tcPr>
            <w:tcW w:type="dxa" w:w="8352"/>
            <w:shd w:fill="091015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ptos" w:hAnsi="Aptos" w:eastAsia="Aptos"/>
                <w:b/>
                <w:color w:val="E9EEDC"/>
                <w:sz w:val="19"/>
              </w:rPr>
              <w:t>Checklist item</w:t>
            </w:r>
          </w:p>
        </w:tc>
      </w:tr>
      <w:tr>
        <w:tc>
          <w:tcPr>
            <w:tcW w:type="dxa" w:w="835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4333A"/>
                <w:sz w:val="24"/>
              </w:rPr>
              <w:t>☐</w:t>
            </w:r>
          </w:p>
        </w:tc>
        <w:tc>
          <w:tcPr>
            <w:tcW w:type="dxa" w:w="892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ptos" w:hAnsi="Aptos" w:eastAsia="Aptos"/>
                <w:b/>
                <w:color w:val="24333A"/>
                <w:sz w:val="19"/>
              </w:rPr>
              <w:t>D1</w:t>
            </w:r>
          </w:p>
        </w:tc>
        <w:tc>
          <w:tcPr>
            <w:tcW w:type="dxa" w:w="8352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r/>
            <w:r>
              <w:rPr>
                <w:rFonts w:ascii="Aptos" w:hAnsi="Aptos" w:eastAsia="Aptos"/>
                <w:b w:val="0"/>
                <w:color w:val="24333A"/>
                <w:sz w:val="19"/>
              </w:rPr>
              <w:t>The customer/program impact objective is written in specific, decision-relevant language.</w:t>
            </w:r>
          </w:p>
        </w:tc>
      </w:tr>
      <w:tr>
        <w:tc>
          <w:tcPr>
            <w:tcW w:type="dxa" w:w="835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4333A"/>
                <w:sz w:val="24"/>
              </w:rPr>
              <w:t>☐</w:t>
            </w:r>
          </w:p>
        </w:tc>
        <w:tc>
          <w:tcPr>
            <w:tcW w:type="dxa" w:w="892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ptos" w:hAnsi="Aptos" w:eastAsia="Aptos"/>
                <w:b/>
                <w:color w:val="24333A"/>
                <w:sz w:val="19"/>
              </w:rPr>
              <w:t>D2</w:t>
            </w:r>
          </w:p>
        </w:tc>
        <w:tc>
          <w:tcPr>
            <w:tcW w:type="dxa" w:w="8352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r/>
            <w:r>
              <w:rPr>
                <w:rFonts w:ascii="Aptos" w:hAnsi="Aptos" w:eastAsia="Aptos"/>
                <w:b w:val="0"/>
                <w:color w:val="24333A"/>
                <w:sz w:val="19"/>
              </w:rPr>
              <w:t>The applicable lens or lenses - Ownership, Location, Employment, Mission - are identified.</w:t>
            </w:r>
          </w:p>
        </w:tc>
      </w:tr>
      <w:tr>
        <w:tc>
          <w:tcPr>
            <w:tcW w:type="dxa" w:w="835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4333A"/>
                <w:sz w:val="24"/>
              </w:rPr>
              <w:t>☐</w:t>
            </w:r>
          </w:p>
        </w:tc>
        <w:tc>
          <w:tcPr>
            <w:tcW w:type="dxa" w:w="892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ptos" w:hAnsi="Aptos" w:eastAsia="Aptos"/>
                <w:b/>
                <w:color w:val="24333A"/>
                <w:sz w:val="19"/>
              </w:rPr>
              <w:t>D3</w:t>
            </w:r>
          </w:p>
        </w:tc>
        <w:tc>
          <w:tcPr>
            <w:tcW w:type="dxa" w:w="8352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r/>
            <w:r>
              <w:rPr>
                <w:rFonts w:ascii="Aptos" w:hAnsi="Aptos" w:eastAsia="Aptos"/>
                <w:b w:val="0"/>
                <w:color w:val="24333A"/>
                <w:sz w:val="19"/>
              </w:rPr>
              <w:t>Each selected lens has an agreed definition and evidence expectation.</w:t>
            </w:r>
          </w:p>
        </w:tc>
      </w:tr>
      <w:tr>
        <w:tc>
          <w:tcPr>
            <w:tcW w:type="dxa" w:w="835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4333A"/>
                <w:sz w:val="24"/>
              </w:rPr>
              <w:t>☐</w:t>
            </w:r>
          </w:p>
        </w:tc>
        <w:tc>
          <w:tcPr>
            <w:tcW w:type="dxa" w:w="892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ptos" w:hAnsi="Aptos" w:eastAsia="Aptos"/>
                <w:b/>
                <w:color w:val="24333A"/>
                <w:sz w:val="19"/>
              </w:rPr>
              <w:t>D4</w:t>
            </w:r>
          </w:p>
        </w:tc>
        <w:tc>
          <w:tcPr>
            <w:tcW w:type="dxa" w:w="8352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r/>
            <w:r>
              <w:rPr>
                <w:rFonts w:ascii="Aptos" w:hAnsi="Aptos" w:eastAsia="Aptos"/>
                <w:b w:val="0"/>
                <w:color w:val="24333A"/>
                <w:sz w:val="19"/>
              </w:rPr>
              <w:t>Non-negotiable operating requirements are documented before impact weighting is discussed.</w:t>
            </w:r>
          </w:p>
        </w:tc>
      </w:tr>
      <w:tr>
        <w:tc>
          <w:tcPr>
            <w:tcW w:type="dxa" w:w="835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4333A"/>
                <w:sz w:val="24"/>
              </w:rPr>
              <w:t>☐</w:t>
            </w:r>
          </w:p>
        </w:tc>
        <w:tc>
          <w:tcPr>
            <w:tcW w:type="dxa" w:w="892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ptos" w:hAnsi="Aptos" w:eastAsia="Aptos"/>
                <w:b/>
                <w:color w:val="24333A"/>
                <w:sz w:val="19"/>
              </w:rPr>
              <w:t>D5</w:t>
            </w:r>
          </w:p>
        </w:tc>
        <w:tc>
          <w:tcPr>
            <w:tcW w:type="dxa" w:w="8352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r/>
            <w:r>
              <w:rPr>
                <w:rFonts w:ascii="Aptos" w:hAnsi="Aptos" w:eastAsia="Aptos"/>
                <w:b w:val="0"/>
                <w:color w:val="24333A"/>
                <w:sz w:val="19"/>
              </w:rPr>
              <w:t>The team has decided whether impact is a threshold, scored factor, tie-breaker, portfolio constraint, or reporting objective.</w:t>
            </w:r>
          </w:p>
        </w:tc>
      </w:tr>
      <w:tr>
        <w:tc>
          <w:tcPr>
            <w:tcW w:type="dxa" w:w="835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4333A"/>
                <w:sz w:val="24"/>
              </w:rPr>
              <w:t>☐</w:t>
            </w:r>
          </w:p>
        </w:tc>
        <w:tc>
          <w:tcPr>
            <w:tcW w:type="dxa" w:w="892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ptos" w:hAnsi="Aptos" w:eastAsia="Aptos"/>
                <w:b/>
                <w:color w:val="24333A"/>
                <w:sz w:val="19"/>
              </w:rPr>
              <w:t>D6</w:t>
            </w:r>
          </w:p>
        </w:tc>
        <w:tc>
          <w:tcPr>
            <w:tcW w:type="dxa" w:w="8352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r/>
            <w:r>
              <w:rPr>
                <w:rFonts w:ascii="Aptos" w:hAnsi="Aptos" w:eastAsia="Aptos"/>
                <w:b w:val="0"/>
                <w:color w:val="24333A"/>
                <w:sz w:val="19"/>
              </w:rPr>
              <w:t>Public-sector, certification, supplier-diversity, or legal requirements are being validated separately where applicable.</w:t>
            </w:r>
          </w:p>
        </w:tc>
      </w:tr>
    </w:tbl>
    <w:p>
      <w:pPr>
        <w:spacing w:after="60" w:line="259" w:lineRule="auto"/>
      </w:pPr>
      <w:r>
        <w:rPr>
          <w:rFonts w:ascii="Aptos" w:hAnsi="Aptos" w:eastAsia="Aptos"/>
          <w:b/>
          <w:i w:val="0"/>
          <w:color w:val="1A575B"/>
          <w:sz w:val="20"/>
        </w:rPr>
        <w:t>DEFINE decision notes / evidence / owners / open issues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80"/>
      </w:tblGrid>
      <w:tr>
        <w:tc>
          <w:tcPr>
            <w:tcW w:type="dxa" w:w="10080"/>
            <w:shd w:fill="FAFAF7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br/>
              <w:br/>
              <w:br/>
            </w:r>
          </w:p>
        </w:tc>
      </w:tr>
    </w:tbl>
    <w:p>
      <w:r>
        <w:br w:type="page"/>
      </w:r>
    </w:p>
    <w:p>
      <w:pPr>
        <w:pStyle w:val="Heading1"/>
        <w:spacing w:after="40"/>
      </w:pPr>
      <w:r>
        <w:t>SOURCE</w:t>
      </w:r>
    </w:p>
    <w:p>
      <w:pPr>
        <w:spacing w:after="140" w:line="259" w:lineRule="auto"/>
      </w:pPr>
      <w:r>
        <w:rPr>
          <w:rFonts w:ascii="Aptos" w:hAnsi="Aptos" w:eastAsia="Aptos"/>
          <w:b w:val="0"/>
          <w:i/>
          <w:color w:val="24333A"/>
          <w:sz w:val="22"/>
        </w:rPr>
        <w:t>Broaden the search while keeping evidence requests proportionate and operating fit intact.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CCD6D3"/>
          <w:left w:val="single" w:sz="5" w:color="CCD6D3"/>
          <w:bottom w:val="single" w:sz="5" w:color="CCD6D3"/>
          <w:right w:val="single" w:sz="5" w:color="CCD6D3"/>
          <w:insideH w:val="single" w:sz="5" w:color="CCD6D3"/>
          <w:insideV w:val="single" w:sz="5" w:color="CCD6D3"/>
        </w:tblBorders>
      </w:tblPr>
      <w:tblGrid>
        <w:gridCol w:w="835"/>
        <w:gridCol w:w="892"/>
        <w:gridCol w:w="8352"/>
      </w:tblGrid>
      <w:tr>
        <w:trPr>
          <w:tblHeader w:val="true"/>
        </w:trPr>
        <w:tc>
          <w:tcPr>
            <w:tcW w:type="dxa" w:w="835"/>
            <w:shd w:fill="091015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ptos" w:hAnsi="Aptos" w:eastAsia="Aptos"/>
                <w:b/>
                <w:color w:val="E9EEDC"/>
                <w:sz w:val="19"/>
              </w:rPr>
              <w:t>Done</w:t>
            </w:r>
          </w:p>
        </w:tc>
        <w:tc>
          <w:tcPr>
            <w:tcW w:type="dxa" w:w="892"/>
            <w:shd w:fill="091015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ptos" w:hAnsi="Aptos" w:eastAsia="Aptos"/>
                <w:b/>
                <w:color w:val="E9EEDC"/>
                <w:sz w:val="19"/>
              </w:rPr>
              <w:t>ID</w:t>
            </w:r>
          </w:p>
        </w:tc>
        <w:tc>
          <w:tcPr>
            <w:tcW w:type="dxa" w:w="8352"/>
            <w:shd w:fill="091015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ptos" w:hAnsi="Aptos" w:eastAsia="Aptos"/>
                <w:b/>
                <w:color w:val="E9EEDC"/>
                <w:sz w:val="19"/>
              </w:rPr>
              <w:t>Checklist item</w:t>
            </w:r>
          </w:p>
        </w:tc>
      </w:tr>
      <w:tr>
        <w:tc>
          <w:tcPr>
            <w:tcW w:type="dxa" w:w="835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4333A"/>
                <w:sz w:val="24"/>
              </w:rPr>
              <w:t>☐</w:t>
            </w:r>
          </w:p>
        </w:tc>
        <w:tc>
          <w:tcPr>
            <w:tcW w:type="dxa" w:w="892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ptos" w:hAnsi="Aptos" w:eastAsia="Aptos"/>
                <w:b/>
                <w:color w:val="24333A"/>
                <w:sz w:val="19"/>
              </w:rPr>
              <w:t>S1</w:t>
            </w:r>
          </w:p>
        </w:tc>
        <w:tc>
          <w:tcPr>
            <w:tcW w:type="dxa" w:w="8352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r/>
            <w:r>
              <w:rPr>
                <w:rFonts w:ascii="Aptos" w:hAnsi="Aptos" w:eastAsia="Aptos"/>
                <w:b w:val="0"/>
                <w:color w:val="24333A"/>
                <w:sz w:val="19"/>
              </w:rPr>
              <w:t>The search is broad enough to find capable providers with relevant impact characteristics.</w:t>
            </w:r>
          </w:p>
        </w:tc>
      </w:tr>
      <w:tr>
        <w:tc>
          <w:tcPr>
            <w:tcW w:type="dxa" w:w="835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4333A"/>
                <w:sz w:val="24"/>
              </w:rPr>
              <w:t>☐</w:t>
            </w:r>
          </w:p>
        </w:tc>
        <w:tc>
          <w:tcPr>
            <w:tcW w:type="dxa" w:w="892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ptos" w:hAnsi="Aptos" w:eastAsia="Aptos"/>
                <w:b/>
                <w:color w:val="24333A"/>
                <w:sz w:val="19"/>
              </w:rPr>
              <w:t>S2</w:t>
            </w:r>
          </w:p>
        </w:tc>
        <w:tc>
          <w:tcPr>
            <w:tcW w:type="dxa" w:w="8352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r/>
            <w:r>
              <w:rPr>
                <w:rFonts w:ascii="Aptos" w:hAnsi="Aptos" w:eastAsia="Aptos"/>
                <w:b w:val="0"/>
                <w:color w:val="24333A"/>
                <w:sz w:val="19"/>
              </w:rPr>
              <w:t>Providers are asked for evidence appropriate to the claimed characteristic rather than broad self-description alone.</w:t>
            </w:r>
          </w:p>
        </w:tc>
      </w:tr>
      <w:tr>
        <w:tc>
          <w:tcPr>
            <w:tcW w:type="dxa" w:w="835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4333A"/>
                <w:sz w:val="24"/>
              </w:rPr>
              <w:t>☐</w:t>
            </w:r>
          </w:p>
        </w:tc>
        <w:tc>
          <w:tcPr>
            <w:tcW w:type="dxa" w:w="892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ptos" w:hAnsi="Aptos" w:eastAsia="Aptos"/>
                <w:b/>
                <w:color w:val="24333A"/>
                <w:sz w:val="19"/>
              </w:rPr>
              <w:t>S3</w:t>
            </w:r>
          </w:p>
        </w:tc>
        <w:tc>
          <w:tcPr>
            <w:tcW w:type="dxa" w:w="8352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r/>
            <w:r>
              <w:rPr>
                <w:rFonts w:ascii="Aptos" w:hAnsi="Aptos" w:eastAsia="Aptos"/>
                <w:b w:val="0"/>
                <w:color w:val="24333A"/>
                <w:sz w:val="19"/>
              </w:rPr>
              <w:t>The team avoids treating geography, ownership, mission, or affiliation as automatic proof of impact.</w:t>
            </w:r>
          </w:p>
        </w:tc>
      </w:tr>
      <w:tr>
        <w:tc>
          <w:tcPr>
            <w:tcW w:type="dxa" w:w="835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4333A"/>
                <w:sz w:val="24"/>
              </w:rPr>
              <w:t>☐</w:t>
            </w:r>
          </w:p>
        </w:tc>
        <w:tc>
          <w:tcPr>
            <w:tcW w:type="dxa" w:w="892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ptos" w:hAnsi="Aptos" w:eastAsia="Aptos"/>
                <w:b/>
                <w:color w:val="24333A"/>
                <w:sz w:val="19"/>
              </w:rPr>
              <w:t>S4</w:t>
            </w:r>
          </w:p>
        </w:tc>
        <w:tc>
          <w:tcPr>
            <w:tcW w:type="dxa" w:w="8352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r/>
            <w:r>
              <w:rPr>
                <w:rFonts w:ascii="Aptos" w:hAnsi="Aptos" w:eastAsia="Aptos"/>
                <w:b w:val="0"/>
                <w:color w:val="24333A"/>
                <w:sz w:val="19"/>
              </w:rPr>
              <w:t>Any sensitive provider or workforce information requested is limited to what the decision actually requires.</w:t>
            </w:r>
          </w:p>
        </w:tc>
      </w:tr>
      <w:tr>
        <w:tc>
          <w:tcPr>
            <w:tcW w:type="dxa" w:w="835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4333A"/>
                <w:sz w:val="24"/>
              </w:rPr>
              <w:t>☐</w:t>
            </w:r>
          </w:p>
        </w:tc>
        <w:tc>
          <w:tcPr>
            <w:tcW w:type="dxa" w:w="892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ptos" w:hAnsi="Aptos" w:eastAsia="Aptos"/>
                <w:b/>
                <w:color w:val="24333A"/>
                <w:sz w:val="19"/>
              </w:rPr>
              <w:t>S5</w:t>
            </w:r>
          </w:p>
        </w:tc>
        <w:tc>
          <w:tcPr>
            <w:tcW w:type="dxa" w:w="8352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r/>
            <w:r>
              <w:rPr>
                <w:rFonts w:ascii="Aptos" w:hAnsi="Aptos" w:eastAsia="Aptos"/>
                <w:b w:val="0"/>
                <w:color w:val="24333A"/>
                <w:sz w:val="19"/>
              </w:rPr>
              <w:t>Operating capability requirements remain visible during sourcing and are not relaxed merely to create impact eligibility.</w:t>
            </w:r>
          </w:p>
        </w:tc>
      </w:tr>
    </w:tbl>
    <w:p>
      <w:pPr>
        <w:spacing w:after="60" w:line="259" w:lineRule="auto"/>
      </w:pPr>
      <w:r>
        <w:rPr>
          <w:rFonts w:ascii="Aptos" w:hAnsi="Aptos" w:eastAsia="Aptos"/>
          <w:b/>
          <w:i w:val="0"/>
          <w:color w:val="1A575B"/>
          <w:sz w:val="20"/>
        </w:rPr>
        <w:t>SOURCE decision notes / evidence / owners / open issues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80"/>
      </w:tblGrid>
      <w:tr>
        <w:tc>
          <w:tcPr>
            <w:tcW w:type="dxa" w:w="10080"/>
            <w:shd w:fill="FAFAF7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br/>
              <w:br/>
              <w:br/>
            </w:r>
          </w:p>
        </w:tc>
      </w:tr>
    </w:tbl>
    <w:p>
      <w:r>
        <w:br w:type="page"/>
      </w:r>
    </w:p>
    <w:p>
      <w:pPr>
        <w:pStyle w:val="Heading1"/>
        <w:spacing w:after="40"/>
      </w:pPr>
      <w:r>
        <w:t>EVALUATE</w:t>
      </w:r>
    </w:p>
    <w:p>
      <w:pPr>
        <w:spacing w:after="140" w:line="259" w:lineRule="auto"/>
      </w:pPr>
      <w:r>
        <w:rPr>
          <w:rFonts w:ascii="Aptos" w:hAnsi="Aptos" w:eastAsia="Aptos"/>
          <w:b w:val="0"/>
          <w:i/>
          <w:color w:val="24333A"/>
          <w:sz w:val="22"/>
        </w:rPr>
        <w:t>Keep impact visible beside the operating and commercial criteria so the team can see real tradeoffs.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CCD6D3"/>
          <w:left w:val="single" w:sz="5" w:color="CCD6D3"/>
          <w:bottom w:val="single" w:sz="5" w:color="CCD6D3"/>
          <w:right w:val="single" w:sz="5" w:color="CCD6D3"/>
          <w:insideH w:val="single" w:sz="5" w:color="CCD6D3"/>
          <w:insideV w:val="single" w:sz="5" w:color="CCD6D3"/>
        </w:tblBorders>
      </w:tblPr>
      <w:tblGrid>
        <w:gridCol w:w="835"/>
        <w:gridCol w:w="892"/>
        <w:gridCol w:w="8352"/>
      </w:tblGrid>
      <w:tr>
        <w:trPr>
          <w:tblHeader w:val="true"/>
        </w:trPr>
        <w:tc>
          <w:tcPr>
            <w:tcW w:type="dxa" w:w="835"/>
            <w:shd w:fill="091015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ptos" w:hAnsi="Aptos" w:eastAsia="Aptos"/>
                <w:b/>
                <w:color w:val="E9EEDC"/>
                <w:sz w:val="19"/>
              </w:rPr>
              <w:t>Done</w:t>
            </w:r>
          </w:p>
        </w:tc>
        <w:tc>
          <w:tcPr>
            <w:tcW w:type="dxa" w:w="892"/>
            <w:shd w:fill="091015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ptos" w:hAnsi="Aptos" w:eastAsia="Aptos"/>
                <w:b/>
                <w:color w:val="E9EEDC"/>
                <w:sz w:val="19"/>
              </w:rPr>
              <w:t>ID</w:t>
            </w:r>
          </w:p>
        </w:tc>
        <w:tc>
          <w:tcPr>
            <w:tcW w:type="dxa" w:w="8352"/>
            <w:shd w:fill="091015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ptos" w:hAnsi="Aptos" w:eastAsia="Aptos"/>
                <w:b/>
                <w:color w:val="E9EEDC"/>
                <w:sz w:val="19"/>
              </w:rPr>
              <w:t>Checklist item</w:t>
            </w:r>
          </w:p>
        </w:tc>
      </w:tr>
      <w:tr>
        <w:tc>
          <w:tcPr>
            <w:tcW w:type="dxa" w:w="835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4333A"/>
                <w:sz w:val="24"/>
              </w:rPr>
              <w:t>☐</w:t>
            </w:r>
          </w:p>
        </w:tc>
        <w:tc>
          <w:tcPr>
            <w:tcW w:type="dxa" w:w="892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ptos" w:hAnsi="Aptos" w:eastAsia="Aptos"/>
                <w:b/>
                <w:color w:val="24333A"/>
                <w:sz w:val="19"/>
              </w:rPr>
              <w:t>E1</w:t>
            </w:r>
          </w:p>
        </w:tc>
        <w:tc>
          <w:tcPr>
            <w:tcW w:type="dxa" w:w="8352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r/>
            <w:r>
              <w:rPr>
                <w:rFonts w:ascii="Aptos" w:hAnsi="Aptos" w:eastAsia="Aptos"/>
                <w:b w:val="0"/>
                <w:color w:val="24333A"/>
                <w:sz w:val="19"/>
              </w:rPr>
              <w:t>Impact criteria are scored or assessed separately enough that tradeoffs remain visible.</w:t>
            </w:r>
          </w:p>
        </w:tc>
      </w:tr>
      <w:tr>
        <w:tc>
          <w:tcPr>
            <w:tcW w:type="dxa" w:w="835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4333A"/>
                <w:sz w:val="24"/>
              </w:rPr>
              <w:t>☐</w:t>
            </w:r>
          </w:p>
        </w:tc>
        <w:tc>
          <w:tcPr>
            <w:tcW w:type="dxa" w:w="892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ptos" w:hAnsi="Aptos" w:eastAsia="Aptos"/>
                <w:b/>
                <w:color w:val="24333A"/>
                <w:sz w:val="19"/>
              </w:rPr>
              <w:t>E2</w:t>
            </w:r>
          </w:p>
        </w:tc>
        <w:tc>
          <w:tcPr>
            <w:tcW w:type="dxa" w:w="8352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r/>
            <w:r>
              <w:rPr>
                <w:rFonts w:ascii="Aptos" w:hAnsi="Aptos" w:eastAsia="Aptos"/>
                <w:b w:val="0"/>
                <w:color w:val="24333A"/>
                <w:sz w:val="19"/>
              </w:rPr>
              <w:t>Capability, quality, scale/capacity, economics, geography/language, technology, resilience, and implementation fit are evaluated explicitly.</w:t>
            </w:r>
          </w:p>
        </w:tc>
      </w:tr>
      <w:tr>
        <w:tc>
          <w:tcPr>
            <w:tcW w:type="dxa" w:w="835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4333A"/>
                <w:sz w:val="24"/>
              </w:rPr>
              <w:t>☐</w:t>
            </w:r>
          </w:p>
        </w:tc>
        <w:tc>
          <w:tcPr>
            <w:tcW w:type="dxa" w:w="892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ptos" w:hAnsi="Aptos" w:eastAsia="Aptos"/>
                <w:b/>
                <w:color w:val="24333A"/>
                <w:sz w:val="19"/>
              </w:rPr>
              <w:t>E3</w:t>
            </w:r>
          </w:p>
        </w:tc>
        <w:tc>
          <w:tcPr>
            <w:tcW w:type="dxa" w:w="8352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r/>
            <w:r>
              <w:rPr>
                <w:rFonts w:ascii="Aptos" w:hAnsi="Aptos" w:eastAsia="Aptos"/>
                <w:b w:val="0"/>
                <w:color w:val="24333A"/>
                <w:sz w:val="19"/>
              </w:rPr>
              <w:t>Impact evidence has been validated to the level required by the decision.</w:t>
            </w:r>
          </w:p>
        </w:tc>
      </w:tr>
      <w:tr>
        <w:tc>
          <w:tcPr>
            <w:tcW w:type="dxa" w:w="835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4333A"/>
                <w:sz w:val="24"/>
              </w:rPr>
              <w:t>☐</w:t>
            </w:r>
          </w:p>
        </w:tc>
        <w:tc>
          <w:tcPr>
            <w:tcW w:type="dxa" w:w="892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ptos" w:hAnsi="Aptos" w:eastAsia="Aptos"/>
                <w:b/>
                <w:color w:val="24333A"/>
                <w:sz w:val="19"/>
              </w:rPr>
              <w:t>E4</w:t>
            </w:r>
          </w:p>
        </w:tc>
        <w:tc>
          <w:tcPr>
            <w:tcW w:type="dxa" w:w="8352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r/>
            <w:r>
              <w:rPr>
                <w:rFonts w:ascii="Aptos" w:hAnsi="Aptos" w:eastAsia="Aptos"/>
                <w:b w:val="0"/>
                <w:color w:val="24333A"/>
                <w:sz w:val="19"/>
              </w:rPr>
              <w:t>The evaluation avoids unsupported causal claims about customer, workforce, community, or economic outcomes.</w:t>
            </w:r>
          </w:p>
        </w:tc>
      </w:tr>
      <w:tr>
        <w:tc>
          <w:tcPr>
            <w:tcW w:type="dxa" w:w="835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4333A"/>
                <w:sz w:val="24"/>
              </w:rPr>
              <w:t>☐</w:t>
            </w:r>
          </w:p>
        </w:tc>
        <w:tc>
          <w:tcPr>
            <w:tcW w:type="dxa" w:w="892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ptos" w:hAnsi="Aptos" w:eastAsia="Aptos"/>
                <w:b/>
                <w:color w:val="24333A"/>
                <w:sz w:val="19"/>
              </w:rPr>
              <w:t>E5</w:t>
            </w:r>
          </w:p>
        </w:tc>
        <w:tc>
          <w:tcPr>
            <w:tcW w:type="dxa" w:w="8352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r/>
            <w:r>
              <w:rPr>
                <w:rFonts w:ascii="Aptos" w:hAnsi="Aptos" w:eastAsia="Aptos"/>
                <w:b w:val="0"/>
                <w:color w:val="24333A"/>
                <w:sz w:val="19"/>
              </w:rPr>
              <w:t>Public-sector or supplier-diversity implications are reviewed against the applicable program rules rather than assumed.</w:t>
            </w:r>
          </w:p>
        </w:tc>
      </w:tr>
    </w:tbl>
    <w:p>
      <w:pPr>
        <w:spacing w:after="60" w:line="259" w:lineRule="auto"/>
      </w:pPr>
      <w:r>
        <w:rPr>
          <w:rFonts w:ascii="Aptos" w:hAnsi="Aptos" w:eastAsia="Aptos"/>
          <w:b/>
          <w:i w:val="0"/>
          <w:color w:val="1A575B"/>
          <w:sz w:val="20"/>
        </w:rPr>
        <w:t>EVALUATE decision notes / evidence / owners / open issues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80"/>
      </w:tblGrid>
      <w:tr>
        <w:tc>
          <w:tcPr>
            <w:tcW w:type="dxa" w:w="10080"/>
            <w:shd w:fill="FAFAF7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br/>
              <w:br/>
              <w:br/>
            </w:r>
          </w:p>
        </w:tc>
      </w:tr>
    </w:tbl>
    <w:p>
      <w:r>
        <w:br w:type="page"/>
      </w:r>
    </w:p>
    <w:p>
      <w:pPr>
        <w:pStyle w:val="Heading1"/>
        <w:spacing w:after="40"/>
      </w:pPr>
      <w:r>
        <w:t>SELECT &amp; STRUCTURE</w:t>
      </w:r>
    </w:p>
    <w:p>
      <w:pPr>
        <w:spacing w:after="140" w:line="259" w:lineRule="auto"/>
      </w:pPr>
      <w:r>
        <w:rPr>
          <w:rFonts w:ascii="Aptos" w:hAnsi="Aptos" w:eastAsia="Aptos"/>
          <w:b w:val="0"/>
          <w:i/>
          <w:color w:val="24333A"/>
          <w:sz w:val="22"/>
        </w:rPr>
        <w:t>Document what was actually selected, what is committed, and how it will be governed.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CCD6D3"/>
          <w:left w:val="single" w:sz="5" w:color="CCD6D3"/>
          <w:bottom w:val="single" w:sz="5" w:color="CCD6D3"/>
          <w:right w:val="single" w:sz="5" w:color="CCD6D3"/>
          <w:insideH w:val="single" w:sz="5" w:color="CCD6D3"/>
          <w:insideV w:val="single" w:sz="5" w:color="CCD6D3"/>
        </w:tblBorders>
      </w:tblPr>
      <w:tblGrid>
        <w:gridCol w:w="835"/>
        <w:gridCol w:w="892"/>
        <w:gridCol w:w="8352"/>
      </w:tblGrid>
      <w:tr>
        <w:trPr>
          <w:tblHeader w:val="true"/>
        </w:trPr>
        <w:tc>
          <w:tcPr>
            <w:tcW w:type="dxa" w:w="835"/>
            <w:shd w:fill="091015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ptos" w:hAnsi="Aptos" w:eastAsia="Aptos"/>
                <w:b/>
                <w:color w:val="E9EEDC"/>
                <w:sz w:val="19"/>
              </w:rPr>
              <w:t>Done</w:t>
            </w:r>
          </w:p>
        </w:tc>
        <w:tc>
          <w:tcPr>
            <w:tcW w:type="dxa" w:w="892"/>
            <w:shd w:fill="091015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ptos" w:hAnsi="Aptos" w:eastAsia="Aptos"/>
                <w:b/>
                <w:color w:val="E9EEDC"/>
                <w:sz w:val="19"/>
              </w:rPr>
              <w:t>ID</w:t>
            </w:r>
          </w:p>
        </w:tc>
        <w:tc>
          <w:tcPr>
            <w:tcW w:type="dxa" w:w="8352"/>
            <w:shd w:fill="091015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ptos" w:hAnsi="Aptos" w:eastAsia="Aptos"/>
                <w:b/>
                <w:color w:val="E9EEDC"/>
                <w:sz w:val="19"/>
              </w:rPr>
              <w:t>Checklist item</w:t>
            </w:r>
          </w:p>
        </w:tc>
      </w:tr>
      <w:tr>
        <w:tc>
          <w:tcPr>
            <w:tcW w:type="dxa" w:w="835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4333A"/>
                <w:sz w:val="24"/>
              </w:rPr>
              <w:t>☐</w:t>
            </w:r>
          </w:p>
        </w:tc>
        <w:tc>
          <w:tcPr>
            <w:tcW w:type="dxa" w:w="892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ptos" w:hAnsi="Aptos" w:eastAsia="Aptos"/>
                <w:b/>
                <w:color w:val="24333A"/>
                <w:sz w:val="19"/>
              </w:rPr>
              <w:t>SS1</w:t>
            </w:r>
          </w:p>
        </w:tc>
        <w:tc>
          <w:tcPr>
            <w:tcW w:type="dxa" w:w="8352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r/>
            <w:r>
              <w:rPr>
                <w:rFonts w:ascii="Aptos" w:hAnsi="Aptos" w:eastAsia="Aptos"/>
                <w:b w:val="0"/>
                <w:color w:val="24333A"/>
                <w:sz w:val="19"/>
              </w:rPr>
              <w:t>The selected provider or provider mix fits the complete operating and commercial need.</w:t>
            </w:r>
          </w:p>
        </w:tc>
      </w:tr>
      <w:tr>
        <w:tc>
          <w:tcPr>
            <w:tcW w:type="dxa" w:w="835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4333A"/>
                <w:sz w:val="24"/>
              </w:rPr>
              <w:t>☐</w:t>
            </w:r>
          </w:p>
        </w:tc>
        <w:tc>
          <w:tcPr>
            <w:tcW w:type="dxa" w:w="892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ptos" w:hAnsi="Aptos" w:eastAsia="Aptos"/>
                <w:b/>
                <w:color w:val="24333A"/>
                <w:sz w:val="19"/>
              </w:rPr>
              <w:t>SS2</w:t>
            </w:r>
          </w:p>
        </w:tc>
        <w:tc>
          <w:tcPr>
            <w:tcW w:type="dxa" w:w="8352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r/>
            <w:r>
              <w:rPr>
                <w:rFonts w:ascii="Aptos" w:hAnsi="Aptos" w:eastAsia="Aptos"/>
                <w:b w:val="0"/>
                <w:color w:val="24333A"/>
                <w:sz w:val="19"/>
              </w:rPr>
              <w:t>Impact commitments included in the decision are written clearly enough to govern after award.</w:t>
            </w:r>
          </w:p>
        </w:tc>
      </w:tr>
      <w:tr>
        <w:tc>
          <w:tcPr>
            <w:tcW w:type="dxa" w:w="835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4333A"/>
                <w:sz w:val="24"/>
              </w:rPr>
              <w:t>☐</w:t>
            </w:r>
          </w:p>
        </w:tc>
        <w:tc>
          <w:tcPr>
            <w:tcW w:type="dxa" w:w="892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ptos" w:hAnsi="Aptos" w:eastAsia="Aptos"/>
                <w:b/>
                <w:color w:val="24333A"/>
                <w:sz w:val="19"/>
              </w:rPr>
              <w:t>SS3</w:t>
            </w:r>
          </w:p>
        </w:tc>
        <w:tc>
          <w:tcPr>
            <w:tcW w:type="dxa" w:w="8352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r/>
            <w:r>
              <w:rPr>
                <w:rFonts w:ascii="Aptos" w:hAnsi="Aptos" w:eastAsia="Aptos"/>
                <w:b w:val="0"/>
                <w:color w:val="24333A"/>
                <w:sz w:val="19"/>
              </w:rPr>
              <w:t>Contract/SOW language distinguishes verified provider characteristics from desired future outcomes.</w:t>
            </w:r>
          </w:p>
        </w:tc>
      </w:tr>
      <w:tr>
        <w:tc>
          <w:tcPr>
            <w:tcW w:type="dxa" w:w="835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4333A"/>
                <w:sz w:val="24"/>
              </w:rPr>
              <w:t>☐</w:t>
            </w:r>
          </w:p>
        </w:tc>
        <w:tc>
          <w:tcPr>
            <w:tcW w:type="dxa" w:w="892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ptos" w:hAnsi="Aptos" w:eastAsia="Aptos"/>
                <w:b/>
                <w:color w:val="24333A"/>
                <w:sz w:val="19"/>
              </w:rPr>
              <w:t>SS4</w:t>
            </w:r>
          </w:p>
        </w:tc>
        <w:tc>
          <w:tcPr>
            <w:tcW w:type="dxa" w:w="8352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r/>
            <w:r>
              <w:rPr>
                <w:rFonts w:ascii="Aptos" w:hAnsi="Aptos" w:eastAsia="Aptos"/>
                <w:b w:val="0"/>
                <w:color w:val="24333A"/>
                <w:sz w:val="19"/>
              </w:rPr>
              <w:t>Governance owners, escalation paths, and review cadence are assigned for any impact commitments.</w:t>
            </w:r>
          </w:p>
        </w:tc>
      </w:tr>
      <w:tr>
        <w:tc>
          <w:tcPr>
            <w:tcW w:type="dxa" w:w="835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4333A"/>
                <w:sz w:val="24"/>
              </w:rPr>
              <w:t>☐</w:t>
            </w:r>
          </w:p>
        </w:tc>
        <w:tc>
          <w:tcPr>
            <w:tcW w:type="dxa" w:w="892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ptos" w:hAnsi="Aptos" w:eastAsia="Aptos"/>
                <w:b/>
                <w:color w:val="24333A"/>
                <w:sz w:val="19"/>
              </w:rPr>
              <w:t>SS5</w:t>
            </w:r>
          </w:p>
        </w:tc>
        <w:tc>
          <w:tcPr>
            <w:tcW w:type="dxa" w:w="8352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r/>
            <w:r>
              <w:rPr>
                <w:rFonts w:ascii="Aptos" w:hAnsi="Aptos" w:eastAsia="Aptos"/>
                <w:b w:val="0"/>
                <w:color w:val="24333A"/>
                <w:sz w:val="19"/>
              </w:rPr>
              <w:t>The decision record states the role impact actually played in selection.</w:t>
            </w:r>
          </w:p>
        </w:tc>
      </w:tr>
      <w:tr>
        <w:tc>
          <w:tcPr>
            <w:tcW w:type="dxa" w:w="835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4333A"/>
                <w:sz w:val="24"/>
              </w:rPr>
              <w:t>☐</w:t>
            </w:r>
          </w:p>
        </w:tc>
        <w:tc>
          <w:tcPr>
            <w:tcW w:type="dxa" w:w="892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ptos" w:hAnsi="Aptos" w:eastAsia="Aptos"/>
                <w:b/>
                <w:color w:val="24333A"/>
                <w:sz w:val="19"/>
              </w:rPr>
              <w:t>SS6</w:t>
            </w:r>
          </w:p>
        </w:tc>
        <w:tc>
          <w:tcPr>
            <w:tcW w:type="dxa" w:w="8352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r/>
            <w:r>
              <w:rPr>
                <w:rFonts w:ascii="Aptos" w:hAnsi="Aptos" w:eastAsia="Aptos"/>
                <w:b w:val="0"/>
                <w:color w:val="24333A"/>
                <w:sz w:val="19"/>
              </w:rPr>
              <w:t>Any unresolved evidence or eligibility questions are assigned an owner and due date.</w:t>
            </w:r>
          </w:p>
        </w:tc>
      </w:tr>
    </w:tbl>
    <w:p>
      <w:pPr>
        <w:spacing w:after="60" w:line="259" w:lineRule="auto"/>
      </w:pPr>
      <w:r>
        <w:rPr>
          <w:rFonts w:ascii="Aptos" w:hAnsi="Aptos" w:eastAsia="Aptos"/>
          <w:b/>
          <w:i w:val="0"/>
          <w:color w:val="1A575B"/>
          <w:sz w:val="20"/>
        </w:rPr>
        <w:t>SELECT &amp; STRUCTURE decision notes / evidence / owners / open issues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80"/>
      </w:tblGrid>
      <w:tr>
        <w:tc>
          <w:tcPr>
            <w:tcW w:type="dxa" w:w="10080"/>
            <w:shd w:fill="FAFAF7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br/>
              <w:br/>
              <w:br/>
            </w:r>
          </w:p>
        </w:tc>
      </w:tr>
    </w:tbl>
    <w:p>
      <w:r>
        <w:br w:type="page"/>
      </w:r>
    </w:p>
    <w:p>
      <w:pPr>
        <w:pStyle w:val="Heading1"/>
        <w:spacing w:after="40"/>
      </w:pPr>
      <w:r>
        <w:t>MEASURE</w:t>
      </w:r>
    </w:p>
    <w:p>
      <w:pPr>
        <w:spacing w:after="140" w:line="259" w:lineRule="auto"/>
      </w:pPr>
      <w:r>
        <w:rPr>
          <w:rFonts w:ascii="Aptos" w:hAnsi="Aptos" w:eastAsia="Aptos"/>
          <w:b w:val="0"/>
          <w:i/>
          <w:color w:val="24333A"/>
          <w:sz w:val="22"/>
        </w:rPr>
        <w:t>Measure only what can be defined and supported; distinguish participation from outcomes.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CCD6D3"/>
          <w:left w:val="single" w:sz="5" w:color="CCD6D3"/>
          <w:bottom w:val="single" w:sz="5" w:color="CCD6D3"/>
          <w:right w:val="single" w:sz="5" w:color="CCD6D3"/>
          <w:insideH w:val="single" w:sz="5" w:color="CCD6D3"/>
          <w:insideV w:val="single" w:sz="5" w:color="CCD6D3"/>
        </w:tblBorders>
      </w:tblPr>
      <w:tblGrid>
        <w:gridCol w:w="835"/>
        <w:gridCol w:w="892"/>
        <w:gridCol w:w="8352"/>
      </w:tblGrid>
      <w:tr>
        <w:trPr>
          <w:tblHeader w:val="true"/>
        </w:trPr>
        <w:tc>
          <w:tcPr>
            <w:tcW w:type="dxa" w:w="835"/>
            <w:shd w:fill="091015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ptos" w:hAnsi="Aptos" w:eastAsia="Aptos"/>
                <w:b/>
                <w:color w:val="E9EEDC"/>
                <w:sz w:val="19"/>
              </w:rPr>
              <w:t>Done</w:t>
            </w:r>
          </w:p>
        </w:tc>
        <w:tc>
          <w:tcPr>
            <w:tcW w:type="dxa" w:w="892"/>
            <w:shd w:fill="091015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ptos" w:hAnsi="Aptos" w:eastAsia="Aptos"/>
                <w:b/>
                <w:color w:val="E9EEDC"/>
                <w:sz w:val="19"/>
              </w:rPr>
              <w:t>ID</w:t>
            </w:r>
          </w:p>
        </w:tc>
        <w:tc>
          <w:tcPr>
            <w:tcW w:type="dxa" w:w="8352"/>
            <w:shd w:fill="091015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ptos" w:hAnsi="Aptos" w:eastAsia="Aptos"/>
                <w:b/>
                <w:color w:val="E9EEDC"/>
                <w:sz w:val="19"/>
              </w:rPr>
              <w:t>Checklist item</w:t>
            </w:r>
          </w:p>
        </w:tc>
      </w:tr>
      <w:tr>
        <w:tc>
          <w:tcPr>
            <w:tcW w:type="dxa" w:w="835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4333A"/>
                <w:sz w:val="24"/>
              </w:rPr>
              <w:t>☐</w:t>
            </w:r>
          </w:p>
        </w:tc>
        <w:tc>
          <w:tcPr>
            <w:tcW w:type="dxa" w:w="892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ptos" w:hAnsi="Aptos" w:eastAsia="Aptos"/>
                <w:b/>
                <w:color w:val="24333A"/>
                <w:sz w:val="19"/>
              </w:rPr>
              <w:t>M1</w:t>
            </w:r>
          </w:p>
        </w:tc>
        <w:tc>
          <w:tcPr>
            <w:tcW w:type="dxa" w:w="8352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r/>
            <w:r>
              <w:rPr>
                <w:rFonts w:ascii="Aptos" w:hAnsi="Aptos" w:eastAsia="Aptos"/>
                <w:b w:val="0"/>
                <w:color w:val="24333A"/>
                <w:sz w:val="19"/>
              </w:rPr>
              <w:t>Each impact indicator has a clear definition, data source, owner, and reporting cadence.</w:t>
            </w:r>
          </w:p>
        </w:tc>
      </w:tr>
      <w:tr>
        <w:tc>
          <w:tcPr>
            <w:tcW w:type="dxa" w:w="835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4333A"/>
                <w:sz w:val="24"/>
              </w:rPr>
              <w:t>☐</w:t>
            </w:r>
          </w:p>
        </w:tc>
        <w:tc>
          <w:tcPr>
            <w:tcW w:type="dxa" w:w="892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ptos" w:hAnsi="Aptos" w:eastAsia="Aptos"/>
                <w:b/>
                <w:color w:val="24333A"/>
                <w:sz w:val="19"/>
              </w:rPr>
              <w:t>M2</w:t>
            </w:r>
          </w:p>
        </w:tc>
        <w:tc>
          <w:tcPr>
            <w:tcW w:type="dxa" w:w="8352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r/>
            <w:r>
              <w:rPr>
                <w:rFonts w:ascii="Aptos" w:hAnsi="Aptos" w:eastAsia="Aptos"/>
                <w:b w:val="0"/>
                <w:color w:val="24333A"/>
                <w:sz w:val="19"/>
              </w:rPr>
              <w:t>The program measures only indicators the underlying data can support reliably.</w:t>
            </w:r>
          </w:p>
        </w:tc>
      </w:tr>
      <w:tr>
        <w:tc>
          <w:tcPr>
            <w:tcW w:type="dxa" w:w="835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4333A"/>
                <w:sz w:val="24"/>
              </w:rPr>
              <w:t>☐</w:t>
            </w:r>
          </w:p>
        </w:tc>
        <w:tc>
          <w:tcPr>
            <w:tcW w:type="dxa" w:w="892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ptos" w:hAnsi="Aptos" w:eastAsia="Aptos"/>
                <w:b/>
                <w:color w:val="24333A"/>
                <w:sz w:val="19"/>
              </w:rPr>
              <w:t>M3</w:t>
            </w:r>
          </w:p>
        </w:tc>
        <w:tc>
          <w:tcPr>
            <w:tcW w:type="dxa" w:w="8352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r/>
            <w:r>
              <w:rPr>
                <w:rFonts w:ascii="Aptos" w:hAnsi="Aptos" w:eastAsia="Aptos"/>
                <w:b w:val="0"/>
                <w:color w:val="24333A"/>
                <w:sz w:val="19"/>
              </w:rPr>
              <w:t>The team distinguishes activity or participation measures from outcomes and does not overstate causality.</w:t>
            </w:r>
          </w:p>
        </w:tc>
      </w:tr>
      <w:tr>
        <w:tc>
          <w:tcPr>
            <w:tcW w:type="dxa" w:w="835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4333A"/>
                <w:sz w:val="24"/>
              </w:rPr>
              <w:t>☐</w:t>
            </w:r>
          </w:p>
        </w:tc>
        <w:tc>
          <w:tcPr>
            <w:tcW w:type="dxa" w:w="892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ptos" w:hAnsi="Aptos" w:eastAsia="Aptos"/>
                <w:b/>
                <w:color w:val="24333A"/>
                <w:sz w:val="19"/>
              </w:rPr>
              <w:t>M4</w:t>
            </w:r>
          </w:p>
        </w:tc>
        <w:tc>
          <w:tcPr>
            <w:tcW w:type="dxa" w:w="8352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r/>
            <w:r>
              <w:rPr>
                <w:rFonts w:ascii="Aptos" w:hAnsi="Aptos" w:eastAsia="Aptos"/>
                <w:b w:val="0"/>
                <w:color w:val="24333A"/>
                <w:sz w:val="19"/>
              </w:rPr>
              <w:t>Provider/workforce data handling reflects appropriate privacy, contractual, and permission boundaries.</w:t>
            </w:r>
          </w:p>
        </w:tc>
      </w:tr>
      <w:tr>
        <w:tc>
          <w:tcPr>
            <w:tcW w:type="dxa" w:w="835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4333A"/>
                <w:sz w:val="24"/>
              </w:rPr>
              <w:t>☐</w:t>
            </w:r>
          </w:p>
        </w:tc>
        <w:tc>
          <w:tcPr>
            <w:tcW w:type="dxa" w:w="892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ptos" w:hAnsi="Aptos" w:eastAsia="Aptos"/>
                <w:b/>
                <w:color w:val="24333A"/>
                <w:sz w:val="19"/>
              </w:rPr>
              <w:t>M5</w:t>
            </w:r>
          </w:p>
        </w:tc>
        <w:tc>
          <w:tcPr>
            <w:tcW w:type="dxa" w:w="8352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r/>
            <w:r>
              <w:rPr>
                <w:rFonts w:ascii="Aptos" w:hAnsi="Aptos" w:eastAsia="Aptos"/>
                <w:b w:val="0"/>
                <w:color w:val="24333A"/>
                <w:sz w:val="19"/>
              </w:rPr>
              <w:t>Reporting language avoids implying certification, statutory credit, customer outcomes, or community outcomes that have not been established.</w:t>
            </w:r>
          </w:p>
        </w:tc>
      </w:tr>
      <w:tr>
        <w:tc>
          <w:tcPr>
            <w:tcW w:type="dxa" w:w="835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4333A"/>
                <w:sz w:val="24"/>
              </w:rPr>
              <w:t>☐</w:t>
            </w:r>
          </w:p>
        </w:tc>
        <w:tc>
          <w:tcPr>
            <w:tcW w:type="dxa" w:w="892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ptos" w:hAnsi="Aptos" w:eastAsia="Aptos"/>
                <w:b/>
                <w:color w:val="24333A"/>
                <w:sz w:val="19"/>
              </w:rPr>
              <w:t>M6</w:t>
            </w:r>
          </w:p>
        </w:tc>
        <w:tc>
          <w:tcPr>
            <w:tcW w:type="dxa" w:w="8352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</w:tcPr>
          <w:p>
            <w:r/>
            <w:r>
              <w:rPr>
                <w:rFonts w:ascii="Aptos" w:hAnsi="Aptos" w:eastAsia="Aptos"/>
                <w:b w:val="0"/>
                <w:color w:val="24333A"/>
                <w:sz w:val="19"/>
              </w:rPr>
              <w:t>The team has defined what decision or action the measurement is supposed to inform.</w:t>
            </w:r>
          </w:p>
        </w:tc>
      </w:tr>
    </w:tbl>
    <w:p>
      <w:pPr>
        <w:spacing w:after="60" w:line="259" w:lineRule="auto"/>
      </w:pPr>
      <w:r>
        <w:rPr>
          <w:rFonts w:ascii="Aptos" w:hAnsi="Aptos" w:eastAsia="Aptos"/>
          <w:b/>
          <w:i w:val="0"/>
          <w:color w:val="1A575B"/>
          <w:sz w:val="20"/>
        </w:rPr>
        <w:t>MEASURE decision notes / evidence / owners / open issues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80"/>
      </w:tblGrid>
      <w:tr>
        <w:tc>
          <w:tcPr>
            <w:tcW w:type="dxa" w:w="10080"/>
            <w:shd w:fill="FAFAF7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br/>
              <w:br/>
              <w:br/>
            </w:r>
          </w:p>
        </w:tc>
      </w:tr>
    </w:tbl>
    <w:p>
      <w:r>
        <w:br w:type="page"/>
      </w:r>
    </w:p>
    <w:p>
      <w:pPr>
        <w:pStyle w:val="Heading1"/>
        <w:spacing w:after="80"/>
      </w:pPr>
      <w:r>
        <w:t>Final decision record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63"/>
        <w:gridCol w:w="7516"/>
      </w:tblGrid>
      <w:tr>
        <w:tc>
          <w:tcPr>
            <w:tcW w:type="dxa" w:w="2563"/>
            <w:tcMar>
              <w:top w:w="75" w:type="dxa"/>
              <w:start w:w="70" w:type="dxa"/>
              <w:bottom w:w="75" w:type="dxa"/>
              <w:end w:w="70" w:type="dxa"/>
            </w:tcMar>
            <w:vAlign w:val="center"/>
          </w:tcPr>
          <w:p>
            <w:r/>
            <w:r>
              <w:rPr>
                <w:rFonts w:ascii="Aptos" w:hAnsi="Aptos" w:eastAsia="Aptos"/>
                <w:b/>
                <w:color w:val="24333A"/>
                <w:sz w:val="21"/>
              </w:rPr>
              <w:t>Program / sourcing event:</w:t>
            </w:r>
          </w:p>
        </w:tc>
        <w:tc>
          <w:tcPr>
            <w:tcW w:type="dxa" w:w="7516"/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  <w:shd w:fill="F8FAF8"/>
          </w:tcPr>
          <w:p>
            <w:r/>
            <w:r>
              <w:rPr>
                <w:rFonts w:ascii="Aptos" w:hAnsi="Aptos" w:eastAsia="Aptos"/>
                <w:b w:val="0"/>
                <w:color w:val="24333A"/>
                <w:sz w:val="20"/>
              </w:rPr>
              <w:t xml:space="preserve"> </w:t>
            </w:r>
          </w:p>
        </w:tc>
      </w:tr>
      <w:tr>
        <w:tc>
          <w:tcPr>
            <w:tcW w:type="dxa" w:w="2563"/>
            <w:tcMar>
              <w:top w:w="75" w:type="dxa"/>
              <w:start w:w="70" w:type="dxa"/>
              <w:bottom w:w="75" w:type="dxa"/>
              <w:end w:w="70" w:type="dxa"/>
            </w:tcMar>
            <w:vAlign w:val="center"/>
          </w:tcPr>
          <w:p>
            <w:r/>
            <w:r>
              <w:rPr>
                <w:rFonts w:ascii="Aptos" w:hAnsi="Aptos" w:eastAsia="Aptos"/>
                <w:b/>
                <w:color w:val="24333A"/>
                <w:sz w:val="21"/>
              </w:rPr>
              <w:t>Decision owner:</w:t>
            </w:r>
          </w:p>
        </w:tc>
        <w:tc>
          <w:tcPr>
            <w:tcW w:type="dxa" w:w="7516"/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  <w:shd w:fill="F8FAF8"/>
          </w:tcPr>
          <w:p>
            <w:r/>
            <w:r>
              <w:rPr>
                <w:rFonts w:ascii="Aptos" w:hAnsi="Aptos" w:eastAsia="Aptos"/>
                <w:b w:val="0"/>
                <w:color w:val="24333A"/>
                <w:sz w:val="20"/>
              </w:rPr>
              <w:t xml:space="preserve"> </w:t>
            </w:r>
          </w:p>
        </w:tc>
      </w:tr>
      <w:tr>
        <w:tc>
          <w:tcPr>
            <w:tcW w:type="dxa" w:w="2563"/>
            <w:tcMar>
              <w:top w:w="75" w:type="dxa"/>
              <w:start w:w="70" w:type="dxa"/>
              <w:bottom w:w="75" w:type="dxa"/>
              <w:end w:w="70" w:type="dxa"/>
            </w:tcMar>
            <w:vAlign w:val="center"/>
          </w:tcPr>
          <w:p>
            <w:r/>
            <w:r>
              <w:rPr>
                <w:rFonts w:ascii="Aptos" w:hAnsi="Aptos" w:eastAsia="Aptos"/>
                <w:b/>
                <w:color w:val="24333A"/>
                <w:sz w:val="21"/>
              </w:rPr>
              <w:t>Selected impact lens(es):</w:t>
            </w:r>
          </w:p>
        </w:tc>
        <w:tc>
          <w:tcPr>
            <w:tcW w:type="dxa" w:w="7516"/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  <w:shd w:fill="F8FAF8"/>
          </w:tcPr>
          <w:p>
            <w:r/>
            <w:r>
              <w:rPr>
                <w:rFonts w:ascii="Aptos" w:hAnsi="Aptos" w:eastAsia="Aptos"/>
                <w:b w:val="0"/>
                <w:color w:val="24333A"/>
                <w:sz w:val="20"/>
              </w:rPr>
              <w:t xml:space="preserve"> </w:t>
            </w:r>
          </w:p>
        </w:tc>
      </w:tr>
      <w:tr>
        <w:tc>
          <w:tcPr>
            <w:tcW w:type="dxa" w:w="2563"/>
            <w:tcMar>
              <w:top w:w="75" w:type="dxa"/>
              <w:start w:w="70" w:type="dxa"/>
              <w:bottom w:w="75" w:type="dxa"/>
              <w:end w:w="70" w:type="dxa"/>
            </w:tcMar>
            <w:vAlign w:val="center"/>
          </w:tcPr>
          <w:p>
            <w:r/>
            <w:r>
              <w:rPr>
                <w:rFonts w:ascii="Aptos" w:hAnsi="Aptos" w:eastAsia="Aptos"/>
                <w:b/>
                <w:color w:val="24333A"/>
                <w:sz w:val="21"/>
              </w:rPr>
              <w:t>Operating-fit conclusion:</w:t>
            </w:r>
          </w:p>
        </w:tc>
        <w:tc>
          <w:tcPr>
            <w:tcW w:type="dxa" w:w="7516"/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  <w:shd w:fill="F8FAF8"/>
          </w:tcPr>
          <w:p>
            <w:r/>
            <w:r>
              <w:rPr>
                <w:rFonts w:ascii="Aptos" w:hAnsi="Aptos" w:eastAsia="Aptos"/>
                <w:b w:val="0"/>
                <w:color w:val="24333A"/>
                <w:sz w:val="20"/>
              </w:rPr>
              <w:t xml:space="preserve"> </w:t>
            </w:r>
          </w:p>
        </w:tc>
      </w:tr>
      <w:tr>
        <w:tc>
          <w:tcPr>
            <w:tcW w:type="dxa" w:w="2563"/>
            <w:tcMar>
              <w:top w:w="75" w:type="dxa"/>
              <w:start w:w="70" w:type="dxa"/>
              <w:bottom w:w="75" w:type="dxa"/>
              <w:end w:w="70" w:type="dxa"/>
            </w:tcMar>
            <w:vAlign w:val="center"/>
          </w:tcPr>
          <w:p>
            <w:r/>
            <w:r>
              <w:rPr>
                <w:rFonts w:ascii="Aptos" w:hAnsi="Aptos" w:eastAsia="Aptos"/>
                <w:b/>
                <w:color w:val="24333A"/>
                <w:sz w:val="21"/>
              </w:rPr>
              <w:t>Impact role in decision:</w:t>
            </w:r>
          </w:p>
        </w:tc>
        <w:tc>
          <w:tcPr>
            <w:tcW w:type="dxa" w:w="7516"/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  <w:shd w:fill="F8FAF8"/>
          </w:tcPr>
          <w:p>
            <w:r/>
            <w:r>
              <w:rPr>
                <w:rFonts w:ascii="Aptos" w:hAnsi="Aptos" w:eastAsia="Aptos"/>
                <w:b w:val="0"/>
                <w:color w:val="24333A"/>
                <w:sz w:val="20"/>
              </w:rPr>
              <w:t xml:space="preserve"> </w:t>
            </w:r>
          </w:p>
        </w:tc>
      </w:tr>
      <w:tr>
        <w:tc>
          <w:tcPr>
            <w:tcW w:type="dxa" w:w="2563"/>
            <w:tcMar>
              <w:top w:w="75" w:type="dxa"/>
              <w:start w:w="70" w:type="dxa"/>
              <w:bottom w:w="75" w:type="dxa"/>
              <w:end w:w="70" w:type="dxa"/>
            </w:tcMar>
            <w:vAlign w:val="center"/>
          </w:tcPr>
          <w:p>
            <w:r/>
            <w:r>
              <w:rPr>
                <w:rFonts w:ascii="Aptos" w:hAnsi="Aptos" w:eastAsia="Aptos"/>
                <w:b/>
                <w:color w:val="24333A"/>
                <w:sz w:val="21"/>
              </w:rPr>
              <w:t>Evidence still outstanding:</w:t>
            </w:r>
          </w:p>
        </w:tc>
        <w:tc>
          <w:tcPr>
            <w:tcW w:type="dxa" w:w="7516"/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  <w:shd w:fill="F8FAF8"/>
          </w:tcPr>
          <w:p>
            <w:r/>
            <w:r>
              <w:rPr>
                <w:rFonts w:ascii="Aptos" w:hAnsi="Aptos" w:eastAsia="Aptos"/>
                <w:b w:val="0"/>
                <w:color w:val="24333A"/>
                <w:sz w:val="20"/>
              </w:rPr>
              <w:t xml:space="preserve"> </w:t>
            </w:r>
          </w:p>
        </w:tc>
      </w:tr>
      <w:tr>
        <w:tc>
          <w:tcPr>
            <w:tcW w:type="dxa" w:w="2563"/>
            <w:tcMar>
              <w:top w:w="75" w:type="dxa"/>
              <w:start w:w="70" w:type="dxa"/>
              <w:bottom w:w="75" w:type="dxa"/>
              <w:end w:w="70" w:type="dxa"/>
            </w:tcMar>
            <w:vAlign w:val="center"/>
          </w:tcPr>
          <w:p>
            <w:r/>
            <w:r>
              <w:rPr>
                <w:rFonts w:ascii="Aptos" w:hAnsi="Aptos" w:eastAsia="Aptos"/>
                <w:b/>
                <w:color w:val="24333A"/>
                <w:sz w:val="21"/>
              </w:rPr>
              <w:t>Measures agreed:</w:t>
            </w:r>
          </w:p>
        </w:tc>
        <w:tc>
          <w:tcPr>
            <w:tcW w:type="dxa" w:w="7516"/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  <w:shd w:fill="F8FAF8"/>
          </w:tcPr>
          <w:p>
            <w:r/>
            <w:r>
              <w:rPr>
                <w:rFonts w:ascii="Aptos" w:hAnsi="Aptos" w:eastAsia="Aptos"/>
                <w:b w:val="0"/>
                <w:color w:val="24333A"/>
                <w:sz w:val="20"/>
              </w:rPr>
              <w:t xml:space="preserve"> </w:t>
            </w:r>
          </w:p>
        </w:tc>
      </w:tr>
      <w:tr>
        <w:tc>
          <w:tcPr>
            <w:tcW w:type="dxa" w:w="2563"/>
            <w:tcMar>
              <w:top w:w="75" w:type="dxa"/>
              <w:start w:w="70" w:type="dxa"/>
              <w:bottom w:w="75" w:type="dxa"/>
              <w:end w:w="70" w:type="dxa"/>
            </w:tcMar>
            <w:vAlign w:val="center"/>
          </w:tcPr>
          <w:p>
            <w:r/>
            <w:r>
              <w:rPr>
                <w:rFonts w:ascii="Aptos" w:hAnsi="Aptos" w:eastAsia="Aptos"/>
                <w:b/>
                <w:color w:val="24333A"/>
                <w:sz w:val="21"/>
              </w:rPr>
              <w:t>Next review date:</w:t>
            </w:r>
          </w:p>
        </w:tc>
        <w:tc>
          <w:tcPr>
            <w:tcW w:type="dxa" w:w="7516"/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  <w:shd w:fill="F8FAF8"/>
          </w:tcPr>
          <w:p>
            <w:r/>
            <w:r>
              <w:rPr>
                <w:rFonts w:ascii="Aptos" w:hAnsi="Aptos" w:eastAsia="Aptos"/>
                <w:b w:val="0"/>
                <w:color w:val="24333A"/>
                <w:sz w:val="20"/>
              </w:rPr>
              <w:t xml:space="preserve"> </w:t>
            </w:r>
          </w:p>
        </w:tc>
      </w:tr>
    </w:tbl>
    <w:p>
      <w:pPr>
        <w:spacing w:after="40" w:line="259" w:lineRule="auto"/>
      </w:pPr>
      <w:r>
        <w:rPr>
          <w:rFonts w:ascii="Aptos" w:hAnsi="Aptos" w:eastAsia="Aptos"/>
          <w:b w:val="0"/>
          <w:i w:val="0"/>
          <w:color w:val="24333A"/>
          <w:sz w:val="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80"/>
      </w:tblGrid>
      <w:tr>
        <w:tc>
          <w:tcPr>
            <w:tcW w:type="dxa" w:w="10080"/>
            <w:shd w:fill="EDF1DE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rFonts w:ascii="Aptos" w:hAnsi="Aptos" w:eastAsia="Aptos"/>
                <w:b/>
                <w:color w:val="1A575B"/>
                <w:sz w:val="21"/>
              </w:rPr>
              <w:t>Use this record carefully</w:t>
            </w:r>
            <w:r>
              <w:br/>
            </w:r>
            <w:r>
              <w:rPr>
                <w:rFonts w:ascii="Aptos" w:hAnsi="Aptos" w:eastAsia="Aptos"/>
                <w:b w:val="0"/>
                <w:color w:val="24333A"/>
                <w:sz w:val="20"/>
              </w:rPr>
              <w:t>This checklist does not establish legal eligibility, certification status, statutory credit, or outcomes. Validate applicable requirements and evidence separately.</w:t>
            </w:r>
          </w:p>
        </w:tc>
      </w:tr>
    </w:tbl>
    <w:sectPr w:rsidR="00FC693F" w:rsidRPr="0006063C" w:rsidSect="00034616">
      <w:pgSz w:w="12240" w:h="15840"/>
      <w:pgMar w:top="648" w:right="979" w:bottom="648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color w:val="24333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 w:eastAsia="Aptos Display"/>
      <w:b/>
      <w:bCs/>
      <w:color w:val="1A575B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 w:eastAsia="Aptos Display"/>
      <w:b/>
      <w:bCs/>
      <w:color w:val="1A575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 w:eastAsia="Aptos Display"/>
      <w:b/>
      <w:color w:val="1A575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