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ARENACX RESOURCES | PLANNING UTILITY</w:t>
      </w:r>
    </w:p>
    <w:p>
      <w:pPr>
        <w:pStyle w:val="Title"/>
      </w:pPr>
      <w:r>
        <w:t>Optionality Design Canvas</w:t>
      </w:r>
    </w:p>
    <w:p>
      <w:r>
        <w:rPr>
          <w:color w:val="566267"/>
          <w:sz w:val="25"/>
        </w:rPr>
        <w:t>A practical worksheet for turning an assumed backup path into a usable operating option.</w:t>
      </w:r>
    </w:p>
    <w:tbl>
      <w:tblPr>
        <w:tblW w:type="dxa" w:w="4968"/>
        <w:jc w:val="center"/>
        <w:tblLayout w:type="fixed"/>
        <w:tblLook w:firstColumn="1" w:firstRow="1" w:lastColumn="0" w:lastRow="0" w:noHBand="0" w:noVBand="1" w:val="04A0"/>
        <w:tblInd w:type="dxa" w:w="0"/>
      </w:tblPr>
      <w:tblGrid>
        <w:gridCol w:w="3240"/>
        <w:gridCol w:w="1728"/>
      </w:tblGrid>
      <w:tr>
        <w:tc>
          <w:tcPr>
            <w:tcW w:type="dxa" w:w="3240"/>
            <w:shd w:fill="FFFFFF" w:val="clear"/>
            <w:vAlign w:val="center"/>
          </w:tcPr>
          <w:p>
            <w:r/>
          </w:p>
        </w:tc>
        <w:tc>
          <w:tcPr>
            <w:tcW w:type="dxa" w:w="1728"/>
            <w:shd w:fill="FFFFFF" w:val="clear"/>
            <w:vAlign w:val="center"/>
          </w:tcPr>
          <w:p>
            <w:r/>
          </w:p>
        </w:tc>
      </w:tr>
    </w:tbl>
    <w:p>
      <w:r>
        <w:rPr>
          <w:b/>
          <w:color w:val="1A575B"/>
          <w:sz w:val="18"/>
        </w:rPr>
        <w:t>Reader-facing utility | Open download</w:t>
      </w:r>
    </w:p>
    <w:p/>
    <w:p>
      <w:r>
        <w:t>Use this canvas on one meaningful customer-operations workstream. The goal is not to maximize the number of providers. It is to decide what must remain movable, make primary and alternate paths visible, identify shared dependencies and activation blockers, and choose the next evidence-producing action.</w:t>
      </w:r>
    </w:p>
    <w:tbl>
      <w:tblPr>
        <w:tblW w:type="dxa" w:w="9432"/>
        <w:jc w:val="center"/>
        <w:tblLayout w:type="fixed"/>
        <w:tblLook w:firstColumn="1" w:firstRow="1" w:lastColumn="0" w:lastRow="0" w:noHBand="0" w:noVBand="1" w:val="04A0"/>
        <w:tblInd w:type="dxa" w:w="0"/>
      </w:tblPr>
      <w:tblGrid>
        <w:gridCol w:w="173"/>
        <w:gridCol w:w="9259"/>
      </w:tblGrid>
      <w:tr>
        <w:tc>
          <w:tcPr>
            <w:tcW w:type="dxa" w:w="173"/>
            <w:shd w:fill="29E69B"/>
            <w:vAlign w:val="center"/>
          </w:tcPr>
          <w:p/>
        </w:tc>
        <w:tc>
          <w:tcPr>
            <w:tcW w:type="dxa" w:w="9259"/>
            <w:shd w:fill="F1F5F2"/>
            <w:tcMar>
              <w:top w:w="130" w:type="dxa"/>
              <w:start w:w="170" w:type="dxa"/>
              <w:bottom w:w="130" w:type="dxa"/>
              <w:end w:w="170" w:type="dxa"/>
            </w:tcMar>
            <w:vAlign w:val="center"/>
          </w:tcPr>
          <w:p>
            <w:r>
              <w:rPr>
                <w:b/>
                <w:color w:val="1A575B"/>
              </w:rPr>
              <w:t>How to use it</w:t>
            </w:r>
            <w:r>
              <w:br/>
              <w:t>Complete the canvas with the people who own the work, the interfaces, and the activation decision. Use evidence where possible: a tested login, a small pilot, a capacity commitment, a commercial clause, a documented routing rule, or a recent activation drill. “We think we could” is a hypothesis, not proof.</w:t>
            </w:r>
          </w:p>
        </w:tc>
      </w:tr>
    </w:tbl>
    <w:p/>
    <w:p>
      <w:r>
        <w:br w:type="page"/>
      </w:r>
    </w:p>
    <w:p>
      <w:pPr>
        <w:pStyle w:val="Heading1"/>
      </w:pPr>
      <w:r>
        <w:t>1. Define what must remain movable</w:t>
      </w:r>
    </w:p>
    <w:p>
      <w:r>
        <w:rPr>
          <w:b/>
        </w:rPr>
        <w:t>Workstream / customer moment</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60" w:type="dxa"/>
              <w:start w:w="160" w:type="dxa"/>
              <w:bottom w:w="160" w:type="dxa"/>
              <w:end w:w="160" w:type="dxa"/>
            </w:tcMar>
            <w:vAlign w:val="center"/>
          </w:tcPr>
          <w:p>
            <w:r>
              <w:rPr>
                <w:color w:val="A6B0AB"/>
              </w:rPr>
              <w:t>Enter response</w:t>
            </w:r>
          </w:p>
        </w:tc>
      </w:tr>
    </w:tbl>
    <w:p>
      <w:r>
        <w:rPr>
          <w:b/>
        </w:rPr>
        <w:t>Customer promise that must continue</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60" w:type="dxa"/>
              <w:start w:w="160" w:type="dxa"/>
              <w:bottom w:w="160" w:type="dxa"/>
              <w:end w:w="160" w:type="dxa"/>
            </w:tcMar>
            <w:vAlign w:val="center"/>
          </w:tcPr>
          <w:p>
            <w:r>
              <w:rPr>
                <w:color w:val="A6B0AB"/>
              </w:rPr>
              <w:t>Enter response</w:t>
            </w:r>
          </w:p>
        </w:tc>
      </w:tr>
    </w:tbl>
    <w:p>
      <w:r>
        <w:rPr>
          <w:b/>
        </w:rPr>
        <w:t>Current primary operating path</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60" w:type="dxa"/>
              <w:start w:w="160" w:type="dxa"/>
              <w:bottom w:w="160" w:type="dxa"/>
              <w:end w:w="160" w:type="dxa"/>
            </w:tcMar>
            <w:vAlign w:val="center"/>
          </w:tcPr>
          <w:p>
            <w:r>
              <w:rPr>
                <w:color w:val="A6B0AB"/>
              </w:rPr>
              <w:t>Enter response</w:t>
            </w:r>
          </w:p>
        </w:tc>
      </w:tr>
    </w:tbl>
    <w:p>
      <w:r>
        <w:rPr>
          <w:b/>
        </w:rPr>
        <w:t>What must remain changeable?</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60" w:type="dxa"/>
              <w:start w:w="160" w:type="dxa"/>
              <w:bottom w:w="160" w:type="dxa"/>
              <w:end w:w="160" w:type="dxa"/>
            </w:tcMar>
            <w:vAlign w:val="center"/>
          </w:tcPr>
          <w:p>
            <w:r>
              <w:rPr>
                <w:color w:val="A6B0AB"/>
              </w:rPr>
              <w:t>Enter response</w:t>
            </w:r>
          </w:p>
        </w:tc>
      </w:tr>
    </w:tbl>
    <w:p>
      <w:r>
        <w:rPr>
          <w:b/>
        </w:rPr>
        <w:t>Non-negotiable service / control requirements</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60" w:type="dxa"/>
              <w:start w:w="160" w:type="dxa"/>
              <w:bottom w:w="160" w:type="dxa"/>
              <w:end w:w="160" w:type="dxa"/>
            </w:tcMar>
            <w:vAlign w:val="center"/>
          </w:tcPr>
          <w:p>
            <w:r>
              <w:rPr>
                <w:color w:val="A6B0AB"/>
              </w:rPr>
              <w:t>Enter response</w:t>
            </w:r>
          </w:p>
        </w:tc>
      </w:tr>
    </w:tbl>
    <w:p>
      <w:pPr>
        <w:pStyle w:val="Heading2"/>
      </w:pPr>
      <w:r>
        <w:t>Why preserve an option here?</w:t>
      </w:r>
    </w:p>
    <w:p>
      <w:r>
        <w:t>□  Continuity / disruption</w:t>
      </w:r>
    </w:p>
    <w:p>
      <w:r>
        <w:t>□  Volume variability / surge</w:t>
      </w:r>
    </w:p>
    <w:p>
      <w:r>
        <w:t>□  Geography / language</w:t>
      </w:r>
    </w:p>
    <w:p>
      <w:r>
        <w:t>□  Specialist capability</w:t>
      </w:r>
    </w:p>
    <w:p>
      <w:r>
        <w:t>□  Technology change</w:t>
      </w:r>
    </w:p>
    <w:p>
      <w:r>
        <w:t>□  Economics / commercial leverage</w:t>
      </w:r>
    </w:p>
    <w:p>
      <w:r>
        <w:t>□  Regulatory / control requirement</w:t>
      </w:r>
    </w:p>
    <w:p>
      <w:r>
        <w:t>□  Other</w:t>
      </w:r>
    </w:p>
    <w:p>
      <w:r>
        <w:br w:type="page"/>
      </w:r>
    </w:p>
    <w:p>
      <w:pPr>
        <w:pStyle w:val="Heading1"/>
      </w:pPr>
      <w:r>
        <w:t>2. Map primary, alternate, and shared dependencies</w:t>
      </w:r>
    </w:p>
    <w:p>
      <w:r>
        <w:t>List credible paths, not theoretical ones. Then name the dependencies that both paths still share. Shared dependencies can be efficient and appropriate; the purpose is to make them visible so you do not mistake two visible providers for two independent operating paths.</w:t>
      </w:r>
    </w:p>
    <w:tbl>
      <w:tblPr>
        <w:tblW w:type="dxa" w:w="9432"/>
        <w:jc w:val="center"/>
        <w:tblLayout w:type="fixed"/>
        <w:tblLook w:firstColumn="1" w:firstRow="1" w:lastColumn="0" w:lastRow="0" w:noHBand="0" w:noVBand="1" w:val="04A0"/>
        <w:tblInd w:type="dxa" w:w="0"/>
      </w:tblPr>
      <w:tblGrid>
        <w:gridCol w:w="707"/>
        <w:gridCol w:w="2122"/>
        <w:gridCol w:w="2122"/>
        <w:gridCol w:w="2311"/>
        <w:gridCol w:w="2170"/>
      </w:tblGrid>
      <w:tr>
        <w:trPr>
          <w:tblHeader w:val="true"/>
        </w:trPr>
        <w:tc>
          <w:tcPr>
            <w:tcW w:type="dxa" w:w="707"/>
            <w:shd w:fill="1A575B"/>
            <w:tcMar>
              <w:top w:w="100" w:type="dxa"/>
              <w:start w:w="90" w:type="dxa"/>
              <w:bottom w:w="100" w:type="dxa"/>
              <w:end w:w="90" w:type="dxa"/>
            </w:tcMar>
            <w:vAlign w:val="center"/>
          </w:tcPr>
          <w:p>
            <w:r>
              <w:rPr>
                <w:b/>
                <w:color w:val="FFFFFF"/>
              </w:rPr>
              <w:t>#</w:t>
            </w:r>
          </w:p>
        </w:tc>
        <w:tc>
          <w:tcPr>
            <w:tcW w:type="dxa" w:w="2122"/>
            <w:shd w:fill="1A575B"/>
            <w:tcMar>
              <w:top w:w="100" w:type="dxa"/>
              <w:start w:w="90" w:type="dxa"/>
              <w:bottom w:w="100" w:type="dxa"/>
              <w:end w:w="90" w:type="dxa"/>
            </w:tcMar>
            <w:vAlign w:val="center"/>
          </w:tcPr>
          <w:p>
            <w:r>
              <w:rPr>
                <w:b/>
                <w:color w:val="FFFFFF"/>
              </w:rPr>
              <w:t>Primary path</w:t>
            </w:r>
          </w:p>
        </w:tc>
        <w:tc>
          <w:tcPr>
            <w:tcW w:type="dxa" w:w="2122"/>
            <w:shd w:fill="1A575B"/>
            <w:tcMar>
              <w:top w:w="100" w:type="dxa"/>
              <w:start w:w="90" w:type="dxa"/>
              <w:bottom w:w="100" w:type="dxa"/>
              <w:end w:w="90" w:type="dxa"/>
            </w:tcMar>
            <w:vAlign w:val="center"/>
          </w:tcPr>
          <w:p>
            <w:r>
              <w:rPr>
                <w:b/>
                <w:color w:val="FFFFFF"/>
              </w:rPr>
              <w:t>Alternate path</w:t>
            </w:r>
          </w:p>
        </w:tc>
        <w:tc>
          <w:tcPr>
            <w:tcW w:type="dxa" w:w="2311"/>
            <w:shd w:fill="1A575B"/>
            <w:tcMar>
              <w:top w:w="100" w:type="dxa"/>
              <w:start w:w="90" w:type="dxa"/>
              <w:bottom w:w="100" w:type="dxa"/>
              <w:end w:w="90" w:type="dxa"/>
            </w:tcMar>
            <w:vAlign w:val="center"/>
          </w:tcPr>
          <w:p>
            <w:r>
              <w:rPr>
                <w:b/>
                <w:color w:val="FFFFFF"/>
              </w:rPr>
              <w:t>Shared dependency</w:t>
            </w:r>
          </w:p>
        </w:tc>
        <w:tc>
          <w:tcPr>
            <w:tcW w:type="dxa" w:w="2170"/>
            <w:shd w:fill="1A575B"/>
            <w:tcMar>
              <w:top w:w="100" w:type="dxa"/>
              <w:start w:w="90" w:type="dxa"/>
              <w:bottom w:w="100" w:type="dxa"/>
              <w:end w:w="90" w:type="dxa"/>
            </w:tcMar>
            <w:vAlign w:val="center"/>
          </w:tcPr>
          <w:p>
            <w:r>
              <w:rPr>
                <w:b/>
                <w:color w:val="FFFFFF"/>
              </w:rPr>
              <w:t>Portability blocker</w:t>
            </w:r>
          </w:p>
        </w:tc>
      </w:tr>
      <w:tr>
        <w:trPr>
          <w:cantSplit/>
        </w:trPr>
        <w:tc>
          <w:tcPr>
            <w:tcW w:type="dxa" w:w="707"/>
            <w:tcMar>
              <w:top w:w="150" w:type="dxa"/>
              <w:start w:w="90" w:type="dxa"/>
              <w:bottom w:w="150" w:type="dxa"/>
              <w:end w:w="90" w:type="dxa"/>
            </w:tcMar>
            <w:vAlign w:val="center"/>
          </w:tcPr>
          <w:p>
            <w:r>
              <w:t>1</w:t>
            </w:r>
          </w:p>
        </w:tc>
        <w:tc>
          <w:tcPr>
            <w:tcW w:type="dxa" w:w="2122"/>
            <w:tcMar>
              <w:top w:w="150" w:type="dxa"/>
              <w:start w:w="90" w:type="dxa"/>
              <w:bottom w:w="150" w:type="dxa"/>
              <w:end w:w="90" w:type="dxa"/>
            </w:tcMar>
            <w:vAlign w:val="center"/>
          </w:tcPr>
          <w:p>
            <w:r>
              <w:rPr>
                <w:color w:val="A6B0AB"/>
              </w:rPr>
              <w:t>Enter response</w:t>
            </w:r>
          </w:p>
        </w:tc>
        <w:tc>
          <w:tcPr>
            <w:tcW w:type="dxa" w:w="2122"/>
            <w:tcMar>
              <w:top w:w="150" w:type="dxa"/>
              <w:start w:w="90" w:type="dxa"/>
              <w:bottom w:w="150" w:type="dxa"/>
              <w:end w:w="90" w:type="dxa"/>
            </w:tcMar>
            <w:vAlign w:val="center"/>
          </w:tcPr>
          <w:p>
            <w:r>
              <w:rPr>
                <w:color w:val="A6B0AB"/>
              </w:rPr>
              <w:t>Enter response</w:t>
            </w:r>
          </w:p>
        </w:tc>
        <w:tc>
          <w:tcPr>
            <w:tcW w:type="dxa" w:w="2311"/>
            <w:tcMar>
              <w:top w:w="150" w:type="dxa"/>
              <w:start w:w="90" w:type="dxa"/>
              <w:bottom w:w="150" w:type="dxa"/>
              <w:end w:w="90" w:type="dxa"/>
            </w:tcMar>
            <w:vAlign w:val="center"/>
          </w:tcPr>
          <w:p>
            <w:r>
              <w:rPr>
                <w:color w:val="A6B0AB"/>
              </w:rPr>
              <w:t>Enter response</w:t>
            </w:r>
          </w:p>
        </w:tc>
        <w:tc>
          <w:tcPr>
            <w:tcW w:type="dxa" w:w="2170"/>
            <w:tcMar>
              <w:top w:w="150" w:type="dxa"/>
              <w:start w:w="90" w:type="dxa"/>
              <w:bottom w:w="150" w:type="dxa"/>
              <w:end w:w="90" w:type="dxa"/>
            </w:tcMar>
            <w:vAlign w:val="center"/>
          </w:tcPr>
          <w:p>
            <w:r>
              <w:rPr>
                <w:color w:val="A6B0AB"/>
              </w:rPr>
              <w:t>Enter response</w:t>
            </w:r>
          </w:p>
        </w:tc>
      </w:tr>
      <w:tr>
        <w:trPr>
          <w:cantSplit/>
        </w:trPr>
        <w:tc>
          <w:tcPr>
            <w:tcW w:type="dxa" w:w="707"/>
            <w:tcMar>
              <w:top w:w="150" w:type="dxa"/>
              <w:start w:w="90" w:type="dxa"/>
              <w:bottom w:w="150" w:type="dxa"/>
              <w:end w:w="90" w:type="dxa"/>
            </w:tcMar>
            <w:vAlign w:val="center"/>
            <w:shd w:fill="F7F9F6"/>
          </w:tcPr>
          <w:p>
            <w:r>
              <w:t>2</w:t>
            </w:r>
          </w:p>
        </w:tc>
        <w:tc>
          <w:tcPr>
            <w:tcW w:type="dxa" w:w="2122"/>
            <w:tcMar>
              <w:top w:w="150" w:type="dxa"/>
              <w:start w:w="90" w:type="dxa"/>
              <w:bottom w:w="150" w:type="dxa"/>
              <w:end w:w="90" w:type="dxa"/>
            </w:tcMar>
            <w:vAlign w:val="center"/>
            <w:shd w:fill="F7F9F6"/>
          </w:tcPr>
          <w:p>
            <w:r>
              <w:rPr>
                <w:color w:val="A6B0AB"/>
              </w:rPr>
              <w:t>Enter response</w:t>
            </w:r>
          </w:p>
        </w:tc>
        <w:tc>
          <w:tcPr>
            <w:tcW w:type="dxa" w:w="2122"/>
            <w:tcMar>
              <w:top w:w="150" w:type="dxa"/>
              <w:start w:w="90" w:type="dxa"/>
              <w:bottom w:w="150" w:type="dxa"/>
              <w:end w:w="90" w:type="dxa"/>
            </w:tcMar>
            <w:vAlign w:val="center"/>
            <w:shd w:fill="F7F9F6"/>
          </w:tcPr>
          <w:p>
            <w:r>
              <w:rPr>
                <w:color w:val="A6B0AB"/>
              </w:rPr>
              <w:t>Enter response</w:t>
            </w:r>
          </w:p>
        </w:tc>
        <w:tc>
          <w:tcPr>
            <w:tcW w:type="dxa" w:w="2311"/>
            <w:tcMar>
              <w:top w:w="150" w:type="dxa"/>
              <w:start w:w="90" w:type="dxa"/>
              <w:bottom w:w="150" w:type="dxa"/>
              <w:end w:w="90" w:type="dxa"/>
            </w:tcMar>
            <w:vAlign w:val="center"/>
            <w:shd w:fill="F7F9F6"/>
          </w:tcPr>
          <w:p>
            <w:r>
              <w:rPr>
                <w:color w:val="A6B0AB"/>
              </w:rPr>
              <w:t>Enter response</w:t>
            </w:r>
          </w:p>
        </w:tc>
        <w:tc>
          <w:tcPr>
            <w:tcW w:type="dxa" w:w="2170"/>
            <w:tcMar>
              <w:top w:w="150" w:type="dxa"/>
              <w:start w:w="90" w:type="dxa"/>
              <w:bottom w:w="150" w:type="dxa"/>
              <w:end w:w="90" w:type="dxa"/>
            </w:tcMar>
            <w:vAlign w:val="center"/>
            <w:shd w:fill="F7F9F6"/>
          </w:tcPr>
          <w:p>
            <w:r>
              <w:rPr>
                <w:color w:val="A6B0AB"/>
              </w:rPr>
              <w:t>Enter response</w:t>
            </w:r>
          </w:p>
        </w:tc>
      </w:tr>
      <w:tr>
        <w:trPr>
          <w:cantSplit/>
        </w:trPr>
        <w:tc>
          <w:tcPr>
            <w:tcW w:type="dxa" w:w="707"/>
            <w:tcMar>
              <w:top w:w="150" w:type="dxa"/>
              <w:start w:w="90" w:type="dxa"/>
              <w:bottom w:w="150" w:type="dxa"/>
              <w:end w:w="90" w:type="dxa"/>
            </w:tcMar>
            <w:vAlign w:val="center"/>
          </w:tcPr>
          <w:p>
            <w:r>
              <w:t>3</w:t>
            </w:r>
          </w:p>
        </w:tc>
        <w:tc>
          <w:tcPr>
            <w:tcW w:type="dxa" w:w="2122"/>
            <w:tcMar>
              <w:top w:w="150" w:type="dxa"/>
              <w:start w:w="90" w:type="dxa"/>
              <w:bottom w:w="150" w:type="dxa"/>
              <w:end w:w="90" w:type="dxa"/>
            </w:tcMar>
            <w:vAlign w:val="center"/>
          </w:tcPr>
          <w:p>
            <w:r>
              <w:rPr>
                <w:color w:val="A6B0AB"/>
              </w:rPr>
              <w:t>Enter response</w:t>
            </w:r>
          </w:p>
        </w:tc>
        <w:tc>
          <w:tcPr>
            <w:tcW w:type="dxa" w:w="2122"/>
            <w:tcMar>
              <w:top w:w="150" w:type="dxa"/>
              <w:start w:w="90" w:type="dxa"/>
              <w:bottom w:w="150" w:type="dxa"/>
              <w:end w:w="90" w:type="dxa"/>
            </w:tcMar>
            <w:vAlign w:val="center"/>
          </w:tcPr>
          <w:p>
            <w:r>
              <w:rPr>
                <w:color w:val="A6B0AB"/>
              </w:rPr>
              <w:t>Enter response</w:t>
            </w:r>
          </w:p>
        </w:tc>
        <w:tc>
          <w:tcPr>
            <w:tcW w:type="dxa" w:w="2311"/>
            <w:tcMar>
              <w:top w:w="150" w:type="dxa"/>
              <w:start w:w="90" w:type="dxa"/>
              <w:bottom w:w="150" w:type="dxa"/>
              <w:end w:w="90" w:type="dxa"/>
            </w:tcMar>
            <w:vAlign w:val="center"/>
          </w:tcPr>
          <w:p>
            <w:r>
              <w:rPr>
                <w:color w:val="A6B0AB"/>
              </w:rPr>
              <w:t>Enter response</w:t>
            </w:r>
          </w:p>
        </w:tc>
        <w:tc>
          <w:tcPr>
            <w:tcW w:type="dxa" w:w="2170"/>
            <w:tcMar>
              <w:top w:w="150" w:type="dxa"/>
              <w:start w:w="90" w:type="dxa"/>
              <w:bottom w:w="150" w:type="dxa"/>
              <w:end w:w="90" w:type="dxa"/>
            </w:tcMar>
            <w:vAlign w:val="center"/>
          </w:tcPr>
          <w:p>
            <w:r>
              <w:rPr>
                <w:color w:val="A6B0AB"/>
              </w:rPr>
              <w:t>Enter response</w:t>
            </w:r>
          </w:p>
        </w:tc>
      </w:tr>
    </w:tbl>
    <w:p>
      <w:pPr>
        <w:pStyle w:val="Heading2"/>
      </w:pPr>
      <w:r>
        <w:t>The concentration question</w:t>
      </w:r>
    </w:p>
    <w:p>
      <w:r>
        <w:t>What single dependency could disable every path above?</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80" w:type="dxa"/>
              <w:start w:w="160" w:type="dxa"/>
              <w:bottom w:w="180" w:type="dxa"/>
              <w:end w:w="160" w:type="dxa"/>
            </w:tcMar>
            <w:vAlign w:val="center"/>
          </w:tcPr>
          <w:p>
            <w:r>
              <w:rPr>
                <w:color w:val="A6B0AB"/>
              </w:rPr>
              <w:t>Enter response</w:t>
            </w:r>
          </w:p>
        </w:tc>
      </w:tr>
    </w:tbl>
    <w:p>
      <w:r>
        <w:br w:type="page"/>
      </w:r>
    </w:p>
    <w:p>
      <w:pPr>
        <w:pStyle w:val="Heading1"/>
      </w:pPr>
      <w:r>
        <w:t>3. Test activation readiness</w:t>
      </w:r>
    </w:p>
    <w:p>
      <w:r>
        <w:t>For each layer, capture the owner, the evidence that proves readiness, and the current state. Use “Not ready” when the path exists conceptually but the operating mechanism has not been tested.</w:t>
      </w:r>
    </w:p>
    <w:tbl>
      <w:tblPr>
        <w:tblW w:type="dxa" w:w="9432"/>
        <w:jc w:val="center"/>
        <w:tblLayout w:type="fixed"/>
        <w:tblLook w:firstColumn="1" w:firstRow="1" w:lastColumn="0" w:lastRow="0" w:noHBand="0" w:noVBand="1" w:val="04A0"/>
        <w:tblInd w:type="dxa" w:w="0"/>
      </w:tblPr>
      <w:tblGrid>
        <w:gridCol w:w="2217"/>
        <w:gridCol w:w="1651"/>
        <w:gridCol w:w="4103"/>
        <w:gridCol w:w="1461"/>
      </w:tblGrid>
      <w:tr>
        <w:trPr>
          <w:tblHeader w:val="true"/>
        </w:trPr>
        <w:tc>
          <w:tcPr>
            <w:tcW w:type="dxa" w:w="2217"/>
            <w:shd w:fill="1A575B"/>
            <w:tcMar>
              <w:top w:w="100" w:type="dxa"/>
              <w:start w:w="90" w:type="dxa"/>
              <w:bottom w:w="100" w:type="dxa"/>
              <w:end w:w="90" w:type="dxa"/>
            </w:tcMar>
            <w:vAlign w:val="center"/>
          </w:tcPr>
          <w:p>
            <w:r>
              <w:rPr>
                <w:b/>
                <w:color w:val="FFFFFF"/>
              </w:rPr>
              <w:t>Readiness layer</w:t>
            </w:r>
          </w:p>
        </w:tc>
        <w:tc>
          <w:tcPr>
            <w:tcW w:type="dxa" w:w="1651"/>
            <w:shd w:fill="1A575B"/>
            <w:tcMar>
              <w:top w:w="100" w:type="dxa"/>
              <w:start w:w="90" w:type="dxa"/>
              <w:bottom w:w="100" w:type="dxa"/>
              <w:end w:w="90" w:type="dxa"/>
            </w:tcMar>
            <w:vAlign w:val="center"/>
          </w:tcPr>
          <w:p>
            <w:r>
              <w:rPr>
                <w:b/>
                <w:color w:val="FFFFFF"/>
              </w:rPr>
              <w:t>Owner</w:t>
            </w:r>
          </w:p>
        </w:tc>
        <w:tc>
          <w:tcPr>
            <w:tcW w:type="dxa" w:w="4103"/>
            <w:shd w:fill="1A575B"/>
            <w:tcMar>
              <w:top w:w="100" w:type="dxa"/>
              <w:start w:w="90" w:type="dxa"/>
              <w:bottom w:w="100" w:type="dxa"/>
              <w:end w:w="90" w:type="dxa"/>
            </w:tcMar>
            <w:vAlign w:val="center"/>
          </w:tcPr>
          <w:p>
            <w:r>
              <w:rPr>
                <w:b/>
                <w:color w:val="FFFFFF"/>
              </w:rPr>
              <w:t>Evidence / latest test</w:t>
            </w:r>
          </w:p>
        </w:tc>
        <w:tc>
          <w:tcPr>
            <w:tcW w:type="dxa" w:w="1461"/>
            <w:shd w:fill="1A575B"/>
            <w:tcMar>
              <w:top w:w="100" w:type="dxa"/>
              <w:start w:w="90" w:type="dxa"/>
              <w:bottom w:w="100" w:type="dxa"/>
              <w:end w:w="90" w:type="dxa"/>
            </w:tcMar>
            <w:vAlign w:val="center"/>
          </w:tcPr>
          <w:p>
            <w:r>
              <w:rPr>
                <w:b/>
                <w:color w:val="FFFFFF"/>
              </w:rPr>
              <w:t>Status</w:t>
            </w:r>
          </w:p>
        </w:tc>
      </w:tr>
      <w:tr>
        <w:trPr>
          <w:cantSplit/>
        </w:trPr>
        <w:tc>
          <w:tcPr>
            <w:tcW w:type="dxa" w:w="2217"/>
            <w:tcMar>
              <w:top w:w="110" w:type="dxa"/>
              <w:start w:w="90" w:type="dxa"/>
              <w:bottom w:w="110" w:type="dxa"/>
              <w:end w:w="90" w:type="dxa"/>
            </w:tcMar>
            <w:vAlign w:val="center"/>
          </w:tcPr>
          <w:p>
            <w:r>
              <w:t>Data &amp; access</w:t>
            </w:r>
          </w:p>
        </w:tc>
        <w:tc>
          <w:tcPr>
            <w:tcW w:type="dxa" w:w="1651"/>
            <w:tcMar>
              <w:top w:w="110" w:type="dxa"/>
              <w:start w:w="90" w:type="dxa"/>
              <w:bottom w:w="110" w:type="dxa"/>
              <w:end w:w="90" w:type="dxa"/>
            </w:tcMar>
            <w:vAlign w:val="center"/>
          </w:tcPr>
          <w:p>
            <w:r>
              <w:rPr>
                <w:color w:val="A6B0AB"/>
              </w:rPr>
              <w:t>Enter response</w:t>
            </w:r>
          </w:p>
        </w:tc>
        <w:tc>
          <w:tcPr>
            <w:tcW w:type="dxa" w:w="4103"/>
            <w:tcMar>
              <w:top w:w="110" w:type="dxa"/>
              <w:start w:w="90" w:type="dxa"/>
              <w:bottom w:w="110" w:type="dxa"/>
              <w:end w:w="90" w:type="dxa"/>
            </w:tcMar>
            <w:vAlign w:val="center"/>
          </w:tcPr>
          <w:p>
            <w:r>
              <w:rPr>
                <w:color w:val="A6B0AB"/>
              </w:rPr>
              <w:t>Enter response</w:t>
            </w:r>
          </w:p>
        </w:tc>
        <w:tc>
          <w:tcPr>
            <w:tcW w:type="dxa" w:w="1461"/>
            <w:tcMar>
              <w:top w:w="110" w:type="dxa"/>
              <w:start w:w="90" w:type="dxa"/>
              <w:bottom w:w="110" w:type="dxa"/>
              <w:end w:w="90" w:type="dxa"/>
            </w:tcMar>
            <w:vAlign w:val="center"/>
          </w:tcPr>
          <w:p>
            <w:r>
              <w:rPr>
                <w:color w:val="A6B0AB"/>
              </w:rPr>
              <w:t>Enter response</w:t>
            </w:r>
          </w:p>
        </w:tc>
      </w:tr>
      <w:tr>
        <w:trPr>
          <w:cantSplit/>
        </w:trPr>
        <w:tc>
          <w:tcPr>
            <w:tcW w:type="dxa" w:w="2217"/>
            <w:tcMar>
              <w:top w:w="110" w:type="dxa"/>
              <w:start w:w="90" w:type="dxa"/>
              <w:bottom w:w="110" w:type="dxa"/>
              <w:end w:w="90" w:type="dxa"/>
            </w:tcMar>
            <w:shd w:fill="F7F9F6"/>
            <w:vAlign w:val="center"/>
          </w:tcPr>
          <w:p>
            <w:r>
              <w:t>Knowledge &amp; training</w:t>
            </w:r>
          </w:p>
        </w:tc>
        <w:tc>
          <w:tcPr>
            <w:tcW w:type="dxa" w:w="1651"/>
            <w:tcMar>
              <w:top w:w="110" w:type="dxa"/>
              <w:start w:w="90" w:type="dxa"/>
              <w:bottom w:w="110" w:type="dxa"/>
              <w:end w:w="90" w:type="dxa"/>
            </w:tcMar>
            <w:shd w:fill="F7F9F6"/>
            <w:vAlign w:val="center"/>
          </w:tcPr>
          <w:p>
            <w:r>
              <w:rPr>
                <w:color w:val="A6B0AB"/>
              </w:rPr>
              <w:t>Enter response</w:t>
            </w:r>
          </w:p>
        </w:tc>
        <w:tc>
          <w:tcPr>
            <w:tcW w:type="dxa" w:w="4103"/>
            <w:tcMar>
              <w:top w:w="110" w:type="dxa"/>
              <w:start w:w="90" w:type="dxa"/>
              <w:bottom w:w="110" w:type="dxa"/>
              <w:end w:w="90" w:type="dxa"/>
            </w:tcMar>
            <w:shd w:fill="F7F9F6"/>
            <w:vAlign w:val="center"/>
          </w:tcPr>
          <w:p>
            <w:r>
              <w:rPr>
                <w:color w:val="A6B0AB"/>
              </w:rPr>
              <w:t>Enter response</w:t>
            </w:r>
          </w:p>
        </w:tc>
        <w:tc>
          <w:tcPr>
            <w:tcW w:type="dxa" w:w="1461"/>
            <w:tcMar>
              <w:top w:w="110" w:type="dxa"/>
              <w:start w:w="90" w:type="dxa"/>
              <w:bottom w:w="110" w:type="dxa"/>
              <w:end w:w="90" w:type="dxa"/>
            </w:tcMar>
            <w:shd w:fill="F7F9F6"/>
            <w:vAlign w:val="center"/>
          </w:tcPr>
          <w:p>
            <w:r>
              <w:rPr>
                <w:color w:val="A6B0AB"/>
              </w:rPr>
              <w:t>Enter response</w:t>
            </w:r>
          </w:p>
        </w:tc>
      </w:tr>
      <w:tr>
        <w:trPr>
          <w:cantSplit/>
        </w:trPr>
        <w:tc>
          <w:tcPr>
            <w:tcW w:type="dxa" w:w="2217"/>
            <w:tcMar>
              <w:top w:w="110" w:type="dxa"/>
              <w:start w:w="90" w:type="dxa"/>
              <w:bottom w:w="110" w:type="dxa"/>
              <w:end w:w="90" w:type="dxa"/>
            </w:tcMar>
            <w:vAlign w:val="center"/>
          </w:tcPr>
          <w:p>
            <w:r>
              <w:t>Integration &amp; tooling</w:t>
            </w:r>
          </w:p>
        </w:tc>
        <w:tc>
          <w:tcPr>
            <w:tcW w:type="dxa" w:w="1651"/>
            <w:tcMar>
              <w:top w:w="110" w:type="dxa"/>
              <w:start w:w="90" w:type="dxa"/>
              <w:bottom w:w="110" w:type="dxa"/>
              <w:end w:w="90" w:type="dxa"/>
            </w:tcMar>
            <w:vAlign w:val="center"/>
          </w:tcPr>
          <w:p>
            <w:r>
              <w:rPr>
                <w:color w:val="A6B0AB"/>
              </w:rPr>
              <w:t>Enter response</w:t>
            </w:r>
          </w:p>
        </w:tc>
        <w:tc>
          <w:tcPr>
            <w:tcW w:type="dxa" w:w="4103"/>
            <w:tcMar>
              <w:top w:w="110" w:type="dxa"/>
              <w:start w:w="90" w:type="dxa"/>
              <w:bottom w:w="110" w:type="dxa"/>
              <w:end w:w="90" w:type="dxa"/>
            </w:tcMar>
            <w:vAlign w:val="center"/>
          </w:tcPr>
          <w:p>
            <w:r>
              <w:rPr>
                <w:color w:val="A6B0AB"/>
              </w:rPr>
              <w:t>Enter response</w:t>
            </w:r>
          </w:p>
        </w:tc>
        <w:tc>
          <w:tcPr>
            <w:tcW w:type="dxa" w:w="1461"/>
            <w:tcMar>
              <w:top w:w="110" w:type="dxa"/>
              <w:start w:w="90" w:type="dxa"/>
              <w:bottom w:w="110" w:type="dxa"/>
              <w:end w:w="90" w:type="dxa"/>
            </w:tcMar>
            <w:vAlign w:val="center"/>
          </w:tcPr>
          <w:p>
            <w:r>
              <w:rPr>
                <w:color w:val="A6B0AB"/>
              </w:rPr>
              <w:t>Enter response</w:t>
            </w:r>
          </w:p>
        </w:tc>
      </w:tr>
      <w:tr>
        <w:trPr>
          <w:cantSplit/>
        </w:trPr>
        <w:tc>
          <w:tcPr>
            <w:tcW w:type="dxa" w:w="2217"/>
            <w:tcMar>
              <w:top w:w="110" w:type="dxa"/>
              <w:start w:w="90" w:type="dxa"/>
              <w:bottom w:w="110" w:type="dxa"/>
              <w:end w:w="90" w:type="dxa"/>
            </w:tcMar>
            <w:shd w:fill="F7F9F6"/>
            <w:vAlign w:val="center"/>
          </w:tcPr>
          <w:p>
            <w:r>
              <w:t>Staffing &amp; capacity</w:t>
            </w:r>
          </w:p>
        </w:tc>
        <w:tc>
          <w:tcPr>
            <w:tcW w:type="dxa" w:w="1651"/>
            <w:tcMar>
              <w:top w:w="110" w:type="dxa"/>
              <w:start w:w="90" w:type="dxa"/>
              <w:bottom w:w="110" w:type="dxa"/>
              <w:end w:w="90" w:type="dxa"/>
            </w:tcMar>
            <w:shd w:fill="F7F9F6"/>
            <w:vAlign w:val="center"/>
          </w:tcPr>
          <w:p>
            <w:r>
              <w:rPr>
                <w:color w:val="A6B0AB"/>
              </w:rPr>
              <w:t>Enter response</w:t>
            </w:r>
          </w:p>
        </w:tc>
        <w:tc>
          <w:tcPr>
            <w:tcW w:type="dxa" w:w="4103"/>
            <w:tcMar>
              <w:top w:w="110" w:type="dxa"/>
              <w:start w:w="90" w:type="dxa"/>
              <w:bottom w:w="110" w:type="dxa"/>
              <w:end w:w="90" w:type="dxa"/>
            </w:tcMar>
            <w:shd w:fill="F7F9F6"/>
            <w:vAlign w:val="center"/>
          </w:tcPr>
          <w:p>
            <w:r>
              <w:rPr>
                <w:color w:val="A6B0AB"/>
              </w:rPr>
              <w:t>Enter response</w:t>
            </w:r>
          </w:p>
        </w:tc>
        <w:tc>
          <w:tcPr>
            <w:tcW w:type="dxa" w:w="1461"/>
            <w:tcMar>
              <w:top w:w="110" w:type="dxa"/>
              <w:start w:w="90" w:type="dxa"/>
              <w:bottom w:w="110" w:type="dxa"/>
              <w:end w:w="90" w:type="dxa"/>
            </w:tcMar>
            <w:shd w:fill="F7F9F6"/>
            <w:vAlign w:val="center"/>
          </w:tcPr>
          <w:p>
            <w:r>
              <w:rPr>
                <w:color w:val="A6B0AB"/>
              </w:rPr>
              <w:t>Enter response</w:t>
            </w:r>
          </w:p>
        </w:tc>
      </w:tr>
      <w:tr>
        <w:trPr>
          <w:cantSplit/>
        </w:trPr>
        <w:tc>
          <w:tcPr>
            <w:tcW w:type="dxa" w:w="2217"/>
            <w:tcMar>
              <w:top w:w="110" w:type="dxa"/>
              <w:start w:w="90" w:type="dxa"/>
              <w:bottom w:w="110" w:type="dxa"/>
              <w:end w:w="90" w:type="dxa"/>
            </w:tcMar>
            <w:vAlign w:val="center"/>
          </w:tcPr>
          <w:p>
            <w:r>
              <w:t>Commercial terms</w:t>
            </w:r>
          </w:p>
        </w:tc>
        <w:tc>
          <w:tcPr>
            <w:tcW w:type="dxa" w:w="1651"/>
            <w:tcMar>
              <w:top w:w="110" w:type="dxa"/>
              <w:start w:w="90" w:type="dxa"/>
              <w:bottom w:w="110" w:type="dxa"/>
              <w:end w:w="90" w:type="dxa"/>
            </w:tcMar>
            <w:vAlign w:val="center"/>
          </w:tcPr>
          <w:p>
            <w:r>
              <w:rPr>
                <w:color w:val="A6B0AB"/>
              </w:rPr>
              <w:t>Enter response</w:t>
            </w:r>
          </w:p>
        </w:tc>
        <w:tc>
          <w:tcPr>
            <w:tcW w:type="dxa" w:w="4103"/>
            <w:tcMar>
              <w:top w:w="110" w:type="dxa"/>
              <w:start w:w="90" w:type="dxa"/>
              <w:bottom w:w="110" w:type="dxa"/>
              <w:end w:w="90" w:type="dxa"/>
            </w:tcMar>
            <w:vAlign w:val="center"/>
          </w:tcPr>
          <w:p>
            <w:r>
              <w:rPr>
                <w:color w:val="A6B0AB"/>
              </w:rPr>
              <w:t>Enter response</w:t>
            </w:r>
          </w:p>
        </w:tc>
        <w:tc>
          <w:tcPr>
            <w:tcW w:type="dxa" w:w="1461"/>
            <w:tcMar>
              <w:top w:w="110" w:type="dxa"/>
              <w:start w:w="90" w:type="dxa"/>
              <w:bottom w:w="110" w:type="dxa"/>
              <w:end w:w="90" w:type="dxa"/>
            </w:tcMar>
            <w:vAlign w:val="center"/>
          </w:tcPr>
          <w:p>
            <w:r>
              <w:rPr>
                <w:color w:val="A6B0AB"/>
              </w:rPr>
              <w:t>Enter response</w:t>
            </w:r>
          </w:p>
        </w:tc>
      </w:tr>
      <w:tr>
        <w:trPr>
          <w:cantSplit/>
        </w:trPr>
        <w:tc>
          <w:tcPr>
            <w:tcW w:type="dxa" w:w="2217"/>
            <w:tcMar>
              <w:top w:w="110" w:type="dxa"/>
              <w:start w:w="90" w:type="dxa"/>
              <w:bottom w:w="110" w:type="dxa"/>
              <w:end w:w="90" w:type="dxa"/>
            </w:tcMar>
            <w:shd w:fill="F7F9F6"/>
            <w:vAlign w:val="center"/>
          </w:tcPr>
          <w:p>
            <w:r>
              <w:t>Governance &amp; decision rights</w:t>
            </w:r>
          </w:p>
        </w:tc>
        <w:tc>
          <w:tcPr>
            <w:tcW w:type="dxa" w:w="1651"/>
            <w:tcMar>
              <w:top w:w="110" w:type="dxa"/>
              <w:start w:w="90" w:type="dxa"/>
              <w:bottom w:w="110" w:type="dxa"/>
              <w:end w:w="90" w:type="dxa"/>
            </w:tcMar>
            <w:shd w:fill="F7F9F6"/>
            <w:vAlign w:val="center"/>
          </w:tcPr>
          <w:p>
            <w:r>
              <w:rPr>
                <w:color w:val="A6B0AB"/>
              </w:rPr>
              <w:t>Enter response</w:t>
            </w:r>
          </w:p>
        </w:tc>
        <w:tc>
          <w:tcPr>
            <w:tcW w:type="dxa" w:w="4103"/>
            <w:tcMar>
              <w:top w:w="110" w:type="dxa"/>
              <w:start w:w="90" w:type="dxa"/>
              <w:bottom w:w="110" w:type="dxa"/>
              <w:end w:w="90" w:type="dxa"/>
            </w:tcMar>
            <w:shd w:fill="F7F9F6"/>
            <w:vAlign w:val="center"/>
          </w:tcPr>
          <w:p>
            <w:r>
              <w:rPr>
                <w:color w:val="A6B0AB"/>
              </w:rPr>
              <w:t>Enter response</w:t>
            </w:r>
          </w:p>
        </w:tc>
        <w:tc>
          <w:tcPr>
            <w:tcW w:type="dxa" w:w="1461"/>
            <w:tcMar>
              <w:top w:w="110" w:type="dxa"/>
              <w:start w:w="90" w:type="dxa"/>
              <w:bottom w:w="110" w:type="dxa"/>
              <w:end w:w="90" w:type="dxa"/>
            </w:tcMar>
            <w:shd w:fill="F7F9F6"/>
            <w:vAlign w:val="center"/>
          </w:tcPr>
          <w:p>
            <w:r>
              <w:rPr>
                <w:color w:val="A6B0AB"/>
              </w:rPr>
              <w:t>Enter response</w:t>
            </w:r>
          </w:p>
        </w:tc>
      </w:tr>
    </w:tbl>
    <w:p>
      <w:pPr>
        <w:pStyle w:val="Heading2"/>
      </w:pPr>
      <w:r>
        <w:t>Activation trigger and authority</w:t>
      </w:r>
    </w:p>
    <w:p>
      <w:r>
        <w:rPr>
          <w:b/>
        </w:rPr>
        <w:t>What signal should trigger consideration of the alternate path?</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00" w:type="dxa"/>
              <w:start w:w="120" w:type="dxa"/>
              <w:bottom w:w="100" w:type="dxa"/>
              <w:end w:w="120" w:type="dxa"/>
            </w:tcMar>
            <w:vAlign w:val="center"/>
          </w:tcPr>
          <w:p>
            <w:r>
              <w:rPr>
                <w:color w:val="A6B0AB"/>
              </w:rPr>
              <w:t>Enter response</w:t>
            </w:r>
          </w:p>
        </w:tc>
      </w:tr>
    </w:tbl>
    <w:p>
      <w:r>
        <w:rPr>
          <w:b/>
        </w:rPr>
        <w:t>Who can authorize the move?</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00" w:type="dxa"/>
              <w:start w:w="120" w:type="dxa"/>
              <w:bottom w:w="100" w:type="dxa"/>
              <w:end w:w="120" w:type="dxa"/>
            </w:tcMar>
            <w:vAlign w:val="center"/>
          </w:tcPr>
          <w:p>
            <w:r>
              <w:rPr>
                <w:color w:val="A6B0AB"/>
              </w:rPr>
              <w:t>Enter response</w:t>
            </w:r>
          </w:p>
        </w:tc>
      </w:tr>
    </w:tbl>
    <w:p>
      <w:r>
        <w:rPr>
          <w:b/>
        </w:rPr>
        <w:t>What moves first?</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00" w:type="dxa"/>
              <w:start w:w="120" w:type="dxa"/>
              <w:bottom w:w="100" w:type="dxa"/>
              <w:end w:w="120" w:type="dxa"/>
            </w:tcMar>
            <w:vAlign w:val="center"/>
          </w:tcPr>
          <w:p>
            <w:r>
              <w:rPr>
                <w:color w:val="A6B0AB"/>
              </w:rPr>
              <w:t>Enter response</w:t>
            </w:r>
          </w:p>
        </w:tc>
      </w:tr>
    </w:tbl>
    <w:p>
      <w:r>
        <w:rPr>
          <w:b/>
        </w:rPr>
        <w:t>What customer safeguard must be checked before transfer?</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00" w:type="dxa"/>
              <w:start w:w="120" w:type="dxa"/>
              <w:bottom w:w="100" w:type="dxa"/>
              <w:end w:w="120" w:type="dxa"/>
            </w:tcMar>
            <w:vAlign w:val="center"/>
          </w:tcPr>
          <w:p>
            <w:r>
              <w:rPr>
                <w:color w:val="A6B0AB"/>
              </w:rPr>
              <w:t>Enter response</w:t>
            </w:r>
          </w:p>
        </w:tc>
      </w:tr>
    </w:tbl>
    <w:p>
      <w:r>
        <w:br w:type="page"/>
      </w:r>
    </w:p>
    <w:p>
      <w:pPr>
        <w:pStyle w:val="Heading1"/>
      </w:pPr>
      <w:r>
        <w:t>4. Make the option economically explicit</w:t>
      </w:r>
    </w:p>
    <w:p>
      <w:r>
        <w:rPr>
          <w:b/>
        </w:rPr>
        <w:t>Estimated recurring cost to preserve this option</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20" w:type="dxa"/>
              <w:start w:w="140" w:type="dxa"/>
              <w:bottom w:w="120" w:type="dxa"/>
              <w:end w:w="140" w:type="dxa"/>
            </w:tcMar>
            <w:vAlign w:val="center"/>
          </w:tcPr>
          <w:p>
            <w:r>
              <w:rPr>
                <w:color w:val="A6B0AB"/>
              </w:rPr>
              <w:t>Enter response</w:t>
            </w:r>
          </w:p>
        </w:tc>
      </w:tr>
    </w:tbl>
    <w:p>
      <w:r>
        <w:rPr>
          <w:b/>
        </w:rPr>
        <w:t>Largest one-time activation cost / friction</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20" w:type="dxa"/>
              <w:start w:w="140" w:type="dxa"/>
              <w:bottom w:w="120" w:type="dxa"/>
              <w:end w:w="140" w:type="dxa"/>
            </w:tcMar>
            <w:vAlign w:val="center"/>
          </w:tcPr>
          <w:p>
            <w:r>
              <w:rPr>
                <w:color w:val="A6B0AB"/>
              </w:rPr>
              <w:t>Enter response</w:t>
            </w:r>
          </w:p>
        </w:tc>
      </w:tr>
    </w:tbl>
    <w:p>
      <w:r>
        <w:rPr>
          <w:b/>
        </w:rPr>
        <w:t>Maximum acceptable activation time</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20" w:type="dxa"/>
              <w:start w:w="140" w:type="dxa"/>
              <w:bottom w:w="120" w:type="dxa"/>
              <w:end w:w="140" w:type="dxa"/>
            </w:tcMar>
            <w:vAlign w:val="center"/>
          </w:tcPr>
          <w:p>
            <w:r>
              <w:rPr>
                <w:color w:val="A6B0AB"/>
              </w:rPr>
              <w:t>Enter response</w:t>
            </w:r>
          </w:p>
        </w:tc>
      </w:tr>
    </w:tbl>
    <w:p>
      <w:r>
        <w:rPr>
          <w:b/>
        </w:rPr>
        <w:t>Next date the option should be retested or refreshed</w:t>
      </w:r>
    </w:p>
    <w:tbl>
      <w:tblPr>
        <w:tblW w:type="dxa" w:w="9432"/>
        <w:jc w:val="center"/>
        <w:tblLayout w:type="fixed"/>
        <w:tblLook w:firstColumn="1" w:firstRow="1" w:lastColumn="0" w:lastRow="0" w:noHBand="0" w:noVBand="1" w:val="04A0"/>
        <w:tblInd w:type="dxa" w:w="0"/>
      </w:tblPr>
      <w:tblGrid>
        <w:gridCol w:w="9432"/>
      </w:tblGrid>
      <w:tr>
        <w:tc>
          <w:tcPr>
            <w:tcW w:type="dxa" w:w="9432"/>
            <w:shd w:fill="F7F9F6"/>
            <w:tcMar>
              <w:top w:w="120" w:type="dxa"/>
              <w:start w:w="140" w:type="dxa"/>
              <w:bottom w:w="120" w:type="dxa"/>
              <w:end w:w="140" w:type="dxa"/>
            </w:tcMar>
            <w:vAlign w:val="center"/>
          </w:tcPr>
          <w:p>
            <w:r>
              <w:rPr>
                <w:color w:val="A6B0AB"/>
              </w:rPr>
              <w:t>Enter response</w:t>
            </w:r>
          </w:p>
        </w:tc>
      </w:tr>
    </w:tbl>
    <w:p>
      <w:pPr>
        <w:pStyle w:val="Heading2"/>
      </w:pPr>
      <w:r>
        <w:t>Keep, strengthen, test, or retire?</w:t>
      </w:r>
    </w:p>
    <w:p>
      <w:r>
        <w:t>□  Keep as-is</w:t>
      </w:r>
    </w:p>
    <w:p>
      <w:r>
        <w:t>□  Strengthen</w:t>
      </w:r>
    </w:p>
    <w:p>
      <w:r>
        <w:t>□  Test in a live/pilot scenario</w:t>
      </w:r>
    </w:p>
    <w:p>
      <w:r>
        <w:t>□  Retire / stop paying to preserve it</w:t>
      </w:r>
    </w:p>
    <w:p>
      <w:pPr>
        <w:pStyle w:val="Heading1"/>
      </w:pPr>
      <w:r>
        <w:t>5. 90-day action plan</w:t>
      </w:r>
    </w:p>
    <w:tbl>
      <w:tblPr>
        <w:tblW w:type="dxa" w:w="9432"/>
        <w:jc w:val="center"/>
        <w:tblLayout w:type="fixed"/>
        <w:tblLook w:firstColumn="1" w:firstRow="1" w:lastColumn="0" w:lastRow="0" w:noHBand="0" w:noVBand="1" w:val="04A0"/>
        <w:tblInd w:type="dxa" w:w="0"/>
      </w:tblPr>
      <w:tblGrid>
        <w:gridCol w:w="755"/>
        <w:gridCol w:w="4339"/>
        <w:gridCol w:w="2169"/>
        <w:gridCol w:w="2169"/>
      </w:tblGrid>
      <w:tr>
        <w:tc>
          <w:tcPr>
            <w:tcW w:type="dxa" w:w="755"/>
            <w:shd w:fill="1A575B"/>
            <w:tcMar>
              <w:top w:w="100" w:type="dxa"/>
              <w:start w:w="90" w:type="dxa"/>
              <w:bottom w:w="100" w:type="dxa"/>
              <w:end w:w="90" w:type="dxa"/>
            </w:tcMar>
            <w:vAlign w:val="center"/>
          </w:tcPr>
          <w:p>
            <w:r>
              <w:rPr>
                <w:b/>
                <w:color w:val="FFFFFF"/>
              </w:rPr>
              <w:t>#</w:t>
            </w:r>
          </w:p>
        </w:tc>
        <w:tc>
          <w:tcPr>
            <w:tcW w:type="dxa" w:w="4339"/>
            <w:shd w:fill="1A575B"/>
            <w:tcMar>
              <w:top w:w="100" w:type="dxa"/>
              <w:start w:w="90" w:type="dxa"/>
              <w:bottom w:w="100" w:type="dxa"/>
              <w:end w:w="90" w:type="dxa"/>
            </w:tcMar>
            <w:vAlign w:val="center"/>
          </w:tcPr>
          <w:p>
            <w:r>
              <w:rPr>
                <w:b/>
                <w:color w:val="FFFFFF"/>
              </w:rPr>
              <w:t>Action that will reduce uncertainty</w:t>
            </w:r>
          </w:p>
        </w:tc>
        <w:tc>
          <w:tcPr>
            <w:tcW w:type="dxa" w:w="2169"/>
            <w:shd w:fill="1A575B"/>
            <w:tcMar>
              <w:top w:w="100" w:type="dxa"/>
              <w:start w:w="90" w:type="dxa"/>
              <w:bottom w:w="100" w:type="dxa"/>
              <w:end w:w="90" w:type="dxa"/>
            </w:tcMar>
            <w:vAlign w:val="center"/>
          </w:tcPr>
          <w:p>
            <w:r>
              <w:rPr>
                <w:b/>
                <w:color w:val="FFFFFF"/>
              </w:rPr>
              <w:t>Owner</w:t>
            </w:r>
          </w:p>
        </w:tc>
        <w:tc>
          <w:tcPr>
            <w:tcW w:type="dxa" w:w="2169"/>
            <w:shd w:fill="1A575B"/>
            <w:tcMar>
              <w:top w:w="100" w:type="dxa"/>
              <w:start w:w="90" w:type="dxa"/>
              <w:bottom w:w="100" w:type="dxa"/>
              <w:end w:w="90" w:type="dxa"/>
            </w:tcMar>
            <w:vAlign w:val="center"/>
          </w:tcPr>
          <w:p>
            <w:r>
              <w:rPr>
                <w:b/>
                <w:color w:val="FFFFFF"/>
              </w:rPr>
              <w:t>Due / test date</w:t>
            </w:r>
          </w:p>
        </w:tc>
      </w:tr>
      <w:tr>
        <w:tc>
          <w:tcPr>
            <w:tcW w:type="dxa" w:w="755"/>
            <w:tcMar>
              <w:top w:w="130" w:type="dxa"/>
              <w:start w:w="90" w:type="dxa"/>
              <w:bottom w:w="130" w:type="dxa"/>
              <w:end w:w="90" w:type="dxa"/>
            </w:tcMar>
            <w:vAlign w:val="center"/>
          </w:tcPr>
          <w:p>
            <w:r>
              <w:t>1</w:t>
            </w:r>
          </w:p>
        </w:tc>
        <w:tc>
          <w:tcPr>
            <w:tcW w:type="dxa" w:w="4339"/>
            <w:tcMar>
              <w:top w:w="130" w:type="dxa"/>
              <w:start w:w="90" w:type="dxa"/>
              <w:bottom w:w="130" w:type="dxa"/>
              <w:end w:w="90" w:type="dxa"/>
            </w:tcMar>
            <w:vAlign w:val="center"/>
          </w:tcPr>
          <w:p>
            <w:r>
              <w:rPr>
                <w:color w:val="A6B0AB"/>
              </w:rPr>
              <w:t>Enter response</w:t>
            </w:r>
          </w:p>
        </w:tc>
        <w:tc>
          <w:tcPr>
            <w:tcW w:type="dxa" w:w="2169"/>
            <w:tcMar>
              <w:top w:w="130" w:type="dxa"/>
              <w:start w:w="90" w:type="dxa"/>
              <w:bottom w:w="130" w:type="dxa"/>
              <w:end w:w="90" w:type="dxa"/>
            </w:tcMar>
            <w:vAlign w:val="center"/>
          </w:tcPr>
          <w:p>
            <w:r>
              <w:rPr>
                <w:color w:val="A6B0AB"/>
              </w:rPr>
              <w:t>Enter response</w:t>
            </w:r>
          </w:p>
        </w:tc>
        <w:tc>
          <w:tcPr>
            <w:tcW w:type="dxa" w:w="2169"/>
            <w:tcMar>
              <w:top w:w="130" w:type="dxa"/>
              <w:start w:w="90" w:type="dxa"/>
              <w:bottom w:w="130" w:type="dxa"/>
              <w:end w:w="90" w:type="dxa"/>
            </w:tcMar>
            <w:vAlign w:val="center"/>
          </w:tcPr>
          <w:p>
            <w:r>
              <w:rPr>
                <w:color w:val="A6B0AB"/>
              </w:rPr>
              <w:t>Enter response</w:t>
            </w:r>
          </w:p>
        </w:tc>
      </w:tr>
      <w:tr>
        <w:tc>
          <w:tcPr>
            <w:tcW w:type="dxa" w:w="755"/>
            <w:tcMar>
              <w:top w:w="130" w:type="dxa"/>
              <w:start w:w="90" w:type="dxa"/>
              <w:bottom w:w="130" w:type="dxa"/>
              <w:end w:w="90" w:type="dxa"/>
            </w:tcMar>
            <w:shd w:fill="F7F9F6"/>
            <w:vAlign w:val="center"/>
          </w:tcPr>
          <w:p>
            <w:r>
              <w:t>2</w:t>
            </w:r>
          </w:p>
        </w:tc>
        <w:tc>
          <w:tcPr>
            <w:tcW w:type="dxa" w:w="4339"/>
            <w:tcMar>
              <w:top w:w="130" w:type="dxa"/>
              <w:start w:w="90" w:type="dxa"/>
              <w:bottom w:w="130" w:type="dxa"/>
              <w:end w:w="90" w:type="dxa"/>
            </w:tcMar>
            <w:shd w:fill="F7F9F6"/>
            <w:vAlign w:val="center"/>
          </w:tcPr>
          <w:p>
            <w:r>
              <w:rPr>
                <w:color w:val="A6B0AB"/>
              </w:rPr>
              <w:t>Enter response</w:t>
            </w:r>
          </w:p>
        </w:tc>
        <w:tc>
          <w:tcPr>
            <w:tcW w:type="dxa" w:w="2169"/>
            <w:tcMar>
              <w:top w:w="130" w:type="dxa"/>
              <w:start w:w="90" w:type="dxa"/>
              <w:bottom w:w="130" w:type="dxa"/>
              <w:end w:w="90" w:type="dxa"/>
            </w:tcMar>
            <w:shd w:fill="F7F9F6"/>
            <w:vAlign w:val="center"/>
          </w:tcPr>
          <w:p>
            <w:r>
              <w:rPr>
                <w:color w:val="A6B0AB"/>
              </w:rPr>
              <w:t>Enter response</w:t>
            </w:r>
          </w:p>
        </w:tc>
        <w:tc>
          <w:tcPr>
            <w:tcW w:type="dxa" w:w="2169"/>
            <w:tcMar>
              <w:top w:w="130" w:type="dxa"/>
              <w:start w:w="90" w:type="dxa"/>
              <w:bottom w:w="130" w:type="dxa"/>
              <w:end w:w="90" w:type="dxa"/>
            </w:tcMar>
            <w:shd w:fill="F7F9F6"/>
            <w:vAlign w:val="center"/>
          </w:tcPr>
          <w:p>
            <w:r>
              <w:rPr>
                <w:color w:val="A6B0AB"/>
              </w:rPr>
              <w:t>Enter response</w:t>
            </w:r>
          </w:p>
        </w:tc>
      </w:tr>
      <w:tr>
        <w:tc>
          <w:tcPr>
            <w:tcW w:type="dxa" w:w="755"/>
            <w:tcMar>
              <w:top w:w="130" w:type="dxa"/>
              <w:start w:w="90" w:type="dxa"/>
              <w:bottom w:w="130" w:type="dxa"/>
              <w:end w:w="90" w:type="dxa"/>
            </w:tcMar>
            <w:vAlign w:val="center"/>
          </w:tcPr>
          <w:p>
            <w:r>
              <w:t>3</w:t>
            </w:r>
          </w:p>
        </w:tc>
        <w:tc>
          <w:tcPr>
            <w:tcW w:type="dxa" w:w="4339"/>
            <w:tcMar>
              <w:top w:w="130" w:type="dxa"/>
              <w:start w:w="90" w:type="dxa"/>
              <w:bottom w:w="130" w:type="dxa"/>
              <w:end w:w="90" w:type="dxa"/>
            </w:tcMar>
            <w:vAlign w:val="center"/>
          </w:tcPr>
          <w:p>
            <w:r>
              <w:rPr>
                <w:color w:val="A6B0AB"/>
              </w:rPr>
              <w:t>Enter response</w:t>
            </w:r>
          </w:p>
        </w:tc>
        <w:tc>
          <w:tcPr>
            <w:tcW w:type="dxa" w:w="2169"/>
            <w:tcMar>
              <w:top w:w="130" w:type="dxa"/>
              <w:start w:w="90" w:type="dxa"/>
              <w:bottom w:w="130" w:type="dxa"/>
              <w:end w:w="90" w:type="dxa"/>
            </w:tcMar>
            <w:vAlign w:val="center"/>
          </w:tcPr>
          <w:p>
            <w:r>
              <w:rPr>
                <w:color w:val="A6B0AB"/>
              </w:rPr>
              <w:t>Enter response</w:t>
            </w:r>
          </w:p>
        </w:tc>
        <w:tc>
          <w:tcPr>
            <w:tcW w:type="dxa" w:w="2169"/>
            <w:tcMar>
              <w:top w:w="130" w:type="dxa"/>
              <w:start w:w="90" w:type="dxa"/>
              <w:bottom w:w="130" w:type="dxa"/>
              <w:end w:w="90" w:type="dxa"/>
            </w:tcMar>
            <w:vAlign w:val="center"/>
          </w:tcPr>
          <w:p>
            <w:r>
              <w:rPr>
                <w:color w:val="A6B0AB"/>
              </w:rPr>
              <w:t>Enter response</w:t>
            </w:r>
          </w:p>
        </w:tc>
      </w:tr>
    </w:tbl>
    <w:tbl>
      <w:tblPr>
        <w:tblW w:type="dxa" w:w="9432"/>
        <w:jc w:val="center"/>
        <w:tblLayout w:type="fixed"/>
        <w:tblLook w:firstColumn="1" w:firstRow="1" w:lastColumn="0" w:lastRow="0" w:noHBand="0" w:noVBand="1" w:val="04A0"/>
        <w:tblInd w:type="dxa" w:w="0"/>
      </w:tblPr>
      <w:tblGrid>
        <w:gridCol w:w="173"/>
        <w:gridCol w:w="9259"/>
      </w:tblGrid>
      <w:tr>
        <w:tc>
          <w:tcPr>
            <w:tcW w:type="dxa" w:w="173"/>
            <w:shd w:fill="29E69B"/>
            <w:vAlign w:val="center"/>
          </w:tcPr>
          <w:p/>
        </w:tc>
        <w:tc>
          <w:tcPr>
            <w:tcW w:type="dxa" w:w="9259"/>
            <w:shd w:fill="F1F5F2"/>
            <w:tcMar>
              <w:top w:w="130" w:type="dxa"/>
              <w:start w:w="170" w:type="dxa"/>
              <w:bottom w:w="130" w:type="dxa"/>
              <w:end w:w="170" w:type="dxa"/>
            </w:tcMar>
            <w:vAlign w:val="center"/>
          </w:tcPr>
          <w:p>
            <w:r>
              <w:rPr>
                <w:b/>
                <w:color w:val="1A575B"/>
              </w:rPr>
              <w:t>Decision at the end of 90 days</w:t>
            </w:r>
            <w:r>
              <w:br/>
              <w:t>What evidence changed? Which option became more usable, less usable, or unnecessary? Update the network design based on what was learned — not on the original assumption.</w:t>
            </w:r>
          </w:p>
        </w:tc>
      </w:tr>
    </w:tbl>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267"/>
        <w:sz w:val="16"/>
      </w:rPr>
      <w:t>ArenaCX  |  Resources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1B26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A575B"/>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A575B"/>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3202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09101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80"/>
    </w:pPr>
    <w:rPr>
      <w:rFonts w:ascii="Aptos" w:hAnsi="Aptos"/>
      <w:b/>
      <w:color w:val="1A575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